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826"/>
        <w:tblW w:w="9606" w:type="dxa"/>
        <w:tblLook w:val="04A0" w:firstRow="1" w:lastRow="0" w:firstColumn="1" w:lastColumn="0" w:noHBand="0" w:noVBand="1"/>
      </w:tblPr>
      <w:tblGrid>
        <w:gridCol w:w="3503"/>
        <w:gridCol w:w="1952"/>
        <w:gridCol w:w="4151"/>
      </w:tblGrid>
      <w:tr w:rsidR="00FC1D0D" w14:paraId="72410341" w14:textId="77777777" w:rsidTr="007D58A7">
        <w:tc>
          <w:tcPr>
            <w:tcW w:w="5169" w:type="dxa"/>
            <w:gridSpan w:val="2"/>
            <w:tcBorders>
              <w:top w:val="single" w:sz="4" w:space="0" w:color="auto"/>
              <w:bottom w:val="single" w:sz="12" w:space="0" w:color="000000"/>
              <w:right w:val="nil"/>
            </w:tcBorders>
            <w:shd w:val="clear" w:color="auto" w:fill="385623"/>
            <w:hideMark/>
          </w:tcPr>
          <w:p w14:paraId="4F775C40" w14:textId="77777777" w:rsidR="00FC1D0D" w:rsidRDefault="00FC1D0D" w:rsidP="00FC1D0D">
            <w:pPr>
              <w:spacing w:after="0" w:line="240" w:lineRule="auto"/>
              <w:jc w:val="center"/>
              <w:rPr>
                <w:rFonts w:ascii="Segoe UI Symbol" w:hAnsi="Segoe UI Symbol"/>
                <w:b/>
                <w:bCs/>
                <w:i/>
                <w:iCs/>
                <w:color w:val="FFFFFF"/>
                <w:sz w:val="28"/>
                <w:szCs w:val="28"/>
              </w:rPr>
            </w:pPr>
            <w:r>
              <w:rPr>
                <w:rFonts w:ascii="Segoe UI Symbol" w:hAnsi="Segoe UI Symbol"/>
                <w:b/>
                <w:bCs/>
                <w:i/>
                <w:iCs/>
                <w:color w:val="FFFFFF"/>
                <w:sz w:val="28"/>
                <w:szCs w:val="28"/>
              </w:rPr>
              <w:t>Journal Siplieria Sciences</w:t>
            </w:r>
          </w:p>
        </w:tc>
        <w:tc>
          <w:tcPr>
            <w:tcW w:w="4437" w:type="dxa"/>
            <w:tcBorders>
              <w:top w:val="single" w:sz="4" w:space="0" w:color="auto"/>
              <w:left w:val="nil"/>
              <w:bottom w:val="single" w:sz="12" w:space="0" w:color="000000"/>
            </w:tcBorders>
            <w:shd w:val="clear" w:color="auto" w:fill="385623"/>
          </w:tcPr>
          <w:p w14:paraId="311AF54B" w14:textId="7DBDFA67" w:rsidR="00FC1D0D" w:rsidRDefault="00160207" w:rsidP="00FC1D0D">
            <w:pPr>
              <w:spacing w:after="0" w:line="240" w:lineRule="auto"/>
              <w:jc w:val="center"/>
              <w:rPr>
                <w:rFonts w:ascii="Segoe UI Symbol" w:hAnsi="Segoe UI Symbol"/>
                <w:b/>
                <w:bCs/>
                <w:i/>
                <w:iCs/>
                <w:color w:val="FFFFFF"/>
                <w:sz w:val="28"/>
                <w:szCs w:val="28"/>
              </w:rPr>
            </w:pPr>
            <w:r>
              <w:rPr>
                <w:rFonts w:ascii="Segoe UI Symbol" w:hAnsi="Segoe UI Symbol"/>
                <w:b/>
                <w:bCs/>
                <w:i/>
                <w:iCs/>
                <w:color w:val="FFFFFF"/>
                <w:sz w:val="28"/>
                <w:szCs w:val="28"/>
              </w:rPr>
              <w:t xml:space="preserve">ISSN </w:t>
            </w:r>
            <w:r w:rsidRPr="00160207">
              <w:rPr>
                <w:rFonts w:ascii="Segoe UI Symbol" w:hAnsi="Segoe UI Symbol"/>
                <w:b/>
                <w:bCs/>
                <w:i/>
                <w:iCs/>
                <w:color w:val="FFFFFF"/>
                <w:sz w:val="28"/>
                <w:szCs w:val="28"/>
              </w:rPr>
              <w:t>2709-2380</w:t>
            </w:r>
          </w:p>
        </w:tc>
      </w:tr>
      <w:tr w:rsidR="00FC1D0D" w14:paraId="3986CBA9" w14:textId="77777777" w:rsidTr="007D58A7">
        <w:trPr>
          <w:trHeight w:val="762"/>
        </w:trPr>
        <w:tc>
          <w:tcPr>
            <w:tcW w:w="5169" w:type="dxa"/>
            <w:gridSpan w:val="2"/>
            <w:tcBorders>
              <w:top w:val="single" w:sz="12" w:space="0" w:color="000000"/>
              <w:bottom w:val="single" w:sz="4" w:space="0" w:color="auto"/>
            </w:tcBorders>
            <w:shd w:val="clear" w:color="auto" w:fill="D9E2F3"/>
            <w:vAlign w:val="center"/>
            <w:hideMark/>
          </w:tcPr>
          <w:p w14:paraId="4326B99E" w14:textId="4347268C" w:rsidR="00FC1D0D" w:rsidRDefault="00160207" w:rsidP="00160207">
            <w:pPr>
              <w:spacing w:after="0" w:line="240" w:lineRule="auto"/>
              <w:jc w:val="center"/>
              <w:rPr>
                <w:rFonts w:ascii="Segoe UI Symbol" w:hAnsi="Segoe UI Symbol"/>
                <w:b/>
                <w:bCs/>
                <w:i/>
                <w:iCs/>
                <w:sz w:val="28"/>
                <w:szCs w:val="28"/>
              </w:rPr>
            </w:pPr>
            <w:r w:rsidRPr="00160207">
              <w:rPr>
                <w:rFonts w:ascii="Segoe UI Symbol" w:hAnsi="Segoe UI Symbol"/>
                <w:b/>
                <w:bCs/>
                <w:i/>
                <w:iCs/>
                <w:sz w:val="28"/>
                <w:szCs w:val="28"/>
              </w:rPr>
              <w:t>https://hdpublication.com/index.php/jss</w:t>
            </w:r>
          </w:p>
        </w:tc>
        <w:tc>
          <w:tcPr>
            <w:tcW w:w="4437" w:type="dxa"/>
            <w:tcBorders>
              <w:top w:val="single" w:sz="12" w:space="0" w:color="000000"/>
              <w:bottom w:val="single" w:sz="4" w:space="0" w:color="auto"/>
            </w:tcBorders>
            <w:shd w:val="clear" w:color="auto" w:fill="D9E2F3"/>
            <w:hideMark/>
          </w:tcPr>
          <w:p w14:paraId="240E219C" w14:textId="77777777" w:rsidR="009B3417" w:rsidRDefault="00FC1D0D" w:rsidP="00FC1D0D">
            <w:pPr>
              <w:spacing w:after="0" w:line="240" w:lineRule="auto"/>
              <w:jc w:val="center"/>
              <w:rPr>
                <w:rFonts w:ascii="Segoe UI Symbol" w:hAnsi="Segoe UI Symbol"/>
                <w:b/>
                <w:sz w:val="28"/>
                <w:szCs w:val="28"/>
              </w:rPr>
            </w:pPr>
            <w:r>
              <w:rPr>
                <w:rFonts w:ascii="Segoe UI Symbol" w:hAnsi="Segoe UI Symbol"/>
                <w:b/>
                <w:sz w:val="28"/>
                <w:szCs w:val="28"/>
              </w:rPr>
              <w:t>Volum</w:t>
            </w:r>
            <w:r w:rsidR="00D277D6">
              <w:rPr>
                <w:rFonts w:ascii="Segoe UI Symbol" w:hAnsi="Segoe UI Symbol"/>
                <w:b/>
                <w:sz w:val="28"/>
                <w:szCs w:val="28"/>
              </w:rPr>
              <w:t xml:space="preserve">e </w:t>
            </w:r>
            <w:r w:rsidR="007D58A7">
              <w:rPr>
                <w:rFonts w:ascii="Segoe UI Symbol" w:hAnsi="Segoe UI Symbol"/>
                <w:b/>
                <w:sz w:val="28"/>
                <w:szCs w:val="28"/>
                <w:lang w:val="en-US"/>
              </w:rPr>
              <w:t>4</w:t>
            </w:r>
            <w:r w:rsidR="00D277D6">
              <w:rPr>
                <w:rFonts w:ascii="Segoe UI Symbol" w:hAnsi="Segoe UI Symbol"/>
                <w:b/>
                <w:sz w:val="28"/>
                <w:szCs w:val="28"/>
              </w:rPr>
              <w:t xml:space="preserve">, </w:t>
            </w:r>
            <w:proofErr w:type="spellStart"/>
            <w:r w:rsidR="00D277D6">
              <w:rPr>
                <w:rFonts w:ascii="Segoe UI Symbol" w:hAnsi="Segoe UI Symbol"/>
                <w:b/>
                <w:sz w:val="28"/>
                <w:szCs w:val="28"/>
              </w:rPr>
              <w:t>Issue</w:t>
            </w:r>
            <w:proofErr w:type="spellEnd"/>
            <w:r w:rsidR="00D277D6">
              <w:rPr>
                <w:rFonts w:ascii="Segoe UI Symbol" w:hAnsi="Segoe UI Symbol"/>
                <w:b/>
                <w:sz w:val="28"/>
                <w:szCs w:val="28"/>
              </w:rPr>
              <w:t xml:space="preserve"> </w:t>
            </w:r>
            <w:r w:rsidR="007D58A7">
              <w:rPr>
                <w:rFonts w:ascii="Segoe UI Symbol" w:hAnsi="Segoe UI Symbol"/>
                <w:b/>
                <w:sz w:val="28"/>
                <w:szCs w:val="28"/>
                <w:lang w:val="en-US"/>
              </w:rPr>
              <w:t>4</w:t>
            </w:r>
            <w:r w:rsidR="00D277D6">
              <w:rPr>
                <w:rFonts w:ascii="Segoe UI Symbol" w:hAnsi="Segoe UI Symbol"/>
                <w:b/>
                <w:sz w:val="28"/>
                <w:szCs w:val="28"/>
              </w:rPr>
              <w:t>, 202</w:t>
            </w:r>
            <w:r w:rsidR="007D58A7">
              <w:rPr>
                <w:rFonts w:ascii="Segoe UI Symbol" w:hAnsi="Segoe UI Symbol"/>
                <w:b/>
                <w:sz w:val="28"/>
                <w:szCs w:val="28"/>
              </w:rPr>
              <w:t>3</w:t>
            </w:r>
          </w:p>
          <w:p w14:paraId="3FABB68B" w14:textId="2F3875DB" w:rsidR="00FC1D0D" w:rsidRPr="007D58A7" w:rsidRDefault="00D277D6" w:rsidP="00FC1D0D">
            <w:pPr>
              <w:spacing w:after="0" w:line="240" w:lineRule="auto"/>
              <w:jc w:val="center"/>
              <w:rPr>
                <w:rFonts w:ascii="Segoe UI Symbol" w:hAnsi="Segoe UI Symbol"/>
                <w:b/>
                <w:sz w:val="28"/>
                <w:szCs w:val="28"/>
                <w:lang w:val="en-US"/>
              </w:rPr>
            </w:pPr>
            <w:proofErr w:type="spellStart"/>
            <w:r>
              <w:rPr>
                <w:rFonts w:ascii="Segoe UI Symbol" w:hAnsi="Segoe UI Symbol"/>
                <w:b/>
                <w:sz w:val="28"/>
                <w:szCs w:val="28"/>
              </w:rPr>
              <w:t>page</w:t>
            </w:r>
            <w:proofErr w:type="spellEnd"/>
            <w:r>
              <w:rPr>
                <w:rFonts w:ascii="Segoe UI Symbol" w:hAnsi="Segoe UI Symbol"/>
                <w:b/>
                <w:sz w:val="28"/>
                <w:szCs w:val="28"/>
              </w:rPr>
              <w:t xml:space="preserve"> 00</w:t>
            </w:r>
            <w:r w:rsidR="007D58A7">
              <w:rPr>
                <w:rFonts w:ascii="Segoe UI Symbol" w:hAnsi="Segoe UI Symbol"/>
                <w:b/>
                <w:sz w:val="28"/>
                <w:szCs w:val="28"/>
                <w:lang w:val="en-US"/>
              </w:rPr>
              <w:t>7</w:t>
            </w:r>
            <w:r>
              <w:rPr>
                <w:rFonts w:ascii="Segoe UI Symbol" w:hAnsi="Segoe UI Symbol"/>
                <w:b/>
                <w:sz w:val="28"/>
                <w:szCs w:val="28"/>
              </w:rPr>
              <w:t>-0</w:t>
            </w:r>
            <w:r w:rsidR="007D58A7">
              <w:rPr>
                <w:rFonts w:ascii="Segoe UI Symbol" w:hAnsi="Segoe UI Symbol"/>
                <w:b/>
                <w:sz w:val="28"/>
                <w:szCs w:val="28"/>
                <w:lang w:val="en-US"/>
              </w:rPr>
              <w:t>14</w:t>
            </w:r>
          </w:p>
        </w:tc>
      </w:tr>
      <w:tr w:rsidR="00FC1D0D" w14:paraId="1AA59776" w14:textId="77777777" w:rsidTr="007D58A7">
        <w:trPr>
          <w:trHeight w:val="387"/>
        </w:trPr>
        <w:tc>
          <w:tcPr>
            <w:tcW w:w="3210" w:type="dxa"/>
            <w:tcBorders>
              <w:top w:val="single" w:sz="4" w:space="0" w:color="auto"/>
              <w:left w:val="single" w:sz="4" w:space="0" w:color="auto"/>
              <w:bottom w:val="single" w:sz="4" w:space="0" w:color="auto"/>
              <w:right w:val="single" w:sz="4" w:space="0" w:color="auto"/>
            </w:tcBorders>
            <w:shd w:val="clear" w:color="auto" w:fill="D9E2F3"/>
          </w:tcPr>
          <w:p w14:paraId="033FF215" w14:textId="133C9B86" w:rsidR="00FC1D0D" w:rsidRPr="001D73E0" w:rsidRDefault="00FC1D0D" w:rsidP="00FC1D0D">
            <w:pPr>
              <w:spacing w:after="0" w:line="240" w:lineRule="auto"/>
              <w:rPr>
                <w:rFonts w:ascii="Segoe UI Symbol" w:hAnsi="Segoe UI Symbol"/>
                <w:b/>
                <w:i/>
                <w:iCs/>
                <w:sz w:val="20"/>
                <w:szCs w:val="20"/>
                <w:lang w:val="en-US"/>
              </w:rPr>
            </w:pPr>
          </w:p>
        </w:tc>
        <w:tc>
          <w:tcPr>
            <w:tcW w:w="6396" w:type="dxa"/>
            <w:gridSpan w:val="2"/>
            <w:tcBorders>
              <w:top w:val="single" w:sz="4" w:space="0" w:color="auto"/>
              <w:left w:val="single" w:sz="4" w:space="0" w:color="auto"/>
              <w:bottom w:val="single" w:sz="4" w:space="0" w:color="auto"/>
            </w:tcBorders>
            <w:shd w:val="clear" w:color="auto" w:fill="385623" w:themeFill="accent6" w:themeFillShade="80"/>
          </w:tcPr>
          <w:p w14:paraId="4736C162" w14:textId="591E4320" w:rsidR="00FC1D0D" w:rsidRPr="00030026" w:rsidRDefault="00FC1D0D" w:rsidP="00FC1D0D">
            <w:pPr>
              <w:spacing w:after="0" w:line="240" w:lineRule="auto"/>
              <w:rPr>
                <w:rFonts w:ascii="Segoe UI Symbol" w:hAnsi="Segoe UI Symbol"/>
                <w:b/>
                <w:sz w:val="28"/>
                <w:szCs w:val="28"/>
                <w:lang w:val="en-US"/>
              </w:rPr>
            </w:pPr>
          </w:p>
        </w:tc>
      </w:tr>
    </w:tbl>
    <w:p w14:paraId="0B6E64D3" w14:textId="61BA4D3E" w:rsidR="000C2844" w:rsidRDefault="00DC7977" w:rsidP="00B55611">
      <w:pPr>
        <w:pStyle w:val="NormalWeb"/>
        <w:shd w:val="clear" w:color="auto" w:fill="FFFFFF"/>
        <w:spacing w:before="0" w:beforeAutospacing="0" w:after="0" w:afterAutospacing="0"/>
        <w:jc w:val="center"/>
        <w:rPr>
          <w:rFonts w:ascii="Segoe UI Symbol" w:hAnsi="Segoe UI Symbol"/>
          <w:b/>
          <w:color w:val="385623"/>
          <w:sz w:val="28"/>
          <w:szCs w:val="28"/>
          <w:lang w:val="en-US"/>
        </w:rPr>
      </w:pPr>
      <w:r w:rsidRPr="00DC7977">
        <w:rPr>
          <w:rFonts w:ascii="Segoe UI Symbol" w:hAnsi="Segoe UI Symbol"/>
          <w:b/>
          <w:color w:val="385623"/>
          <w:sz w:val="28"/>
          <w:szCs w:val="28"/>
        </w:rPr>
        <w:t>Sustainable Agricultural Practices: Navigating the Nexus of Innovation, Resilience, and Global Food Security</w:t>
      </w:r>
      <w:r w:rsidR="000C2844" w:rsidRPr="000C2844">
        <w:rPr>
          <w:rFonts w:ascii="Segoe UI Symbol" w:hAnsi="Segoe UI Symbol"/>
          <w:b/>
          <w:color w:val="385623"/>
          <w:sz w:val="28"/>
          <w:szCs w:val="28"/>
          <w:lang w:val="en-US"/>
        </w:rPr>
        <w:t>Fish</w:t>
      </w:r>
    </w:p>
    <w:p w14:paraId="2E1038CA" w14:textId="31781184" w:rsidR="00DC7977" w:rsidRPr="00DC7977" w:rsidRDefault="00DC7977" w:rsidP="00DC7977">
      <w:pPr>
        <w:spacing w:line="360" w:lineRule="atLeast"/>
        <w:jc w:val="center"/>
        <w:rPr>
          <w:rFonts w:ascii="Segoe UI Symbol" w:hAnsi="Segoe UI Symbol" w:cs="Arial"/>
          <w:b/>
          <w:bCs/>
          <w:lang w:val="en-ID"/>
        </w:rPr>
      </w:pPr>
      <w:r>
        <w:rPr>
          <w:rFonts w:ascii="Segoe UI Symbol" w:hAnsi="Segoe UI Symbol" w:cs="Arial"/>
          <w:b/>
          <w:bCs/>
          <w:lang w:val="en-ID"/>
        </w:rPr>
        <w:t>Am</w:t>
      </w:r>
      <w:r w:rsidRPr="00DC7977">
        <w:rPr>
          <w:rFonts w:ascii="Segoe UI Symbol" w:hAnsi="Segoe UI Symbol" w:cs="Arial"/>
          <w:b/>
          <w:bCs/>
          <w:lang w:val="en-ID"/>
        </w:rPr>
        <w:t>ina Malaita</w:t>
      </w:r>
    </w:p>
    <w:p w14:paraId="4B960114" w14:textId="364C000A" w:rsidR="00DC7977" w:rsidRPr="00DC7977" w:rsidRDefault="00DC7977" w:rsidP="00DC7977">
      <w:pPr>
        <w:spacing w:line="360" w:lineRule="atLeast"/>
        <w:jc w:val="center"/>
        <w:rPr>
          <w:rFonts w:ascii="Segoe UI Symbol" w:hAnsi="Segoe UI Symbol" w:cs="Arial"/>
          <w:b/>
          <w:bCs/>
          <w:lang w:val="en-ID"/>
        </w:rPr>
      </w:pPr>
      <w:r w:rsidRPr="00DC7977">
        <w:rPr>
          <w:rFonts w:ascii="Segoe UI Symbol" w:hAnsi="Segoe UI Symbol" w:cs="Arial"/>
          <w:b/>
          <w:bCs/>
          <w:lang w:val="en-ID"/>
        </w:rPr>
        <w:t>Solomon Islands Institute of Sustainable Agriculture and Environmental Sciences (SIISAES) Honiara, Solomon Islands</w:t>
      </w:r>
    </w:p>
    <w:p w14:paraId="07AA915A" w14:textId="3AB35B17" w:rsidR="007763A1" w:rsidRPr="00D277D6" w:rsidRDefault="007763A1" w:rsidP="00A56EDC">
      <w:pPr>
        <w:spacing w:before="120" w:after="120" w:line="240" w:lineRule="auto"/>
        <w:jc w:val="both"/>
        <w:rPr>
          <w:rFonts w:ascii="Calibri Light" w:hAnsi="Calibri Light" w:cs="Calibri Light"/>
          <w:b/>
          <w:color w:val="385623"/>
          <w:sz w:val="24"/>
          <w:szCs w:val="24"/>
          <w:lang w:val="en-US"/>
        </w:rPr>
      </w:pPr>
      <w:proofErr w:type="spellStart"/>
      <w:r w:rsidRPr="00D277D6">
        <w:rPr>
          <w:rFonts w:ascii="Calibri Light" w:hAnsi="Calibri Light" w:cs="Calibri Light"/>
          <w:b/>
          <w:color w:val="385623"/>
          <w:sz w:val="24"/>
          <w:szCs w:val="24"/>
        </w:rPr>
        <w:t>Abstract</w:t>
      </w:r>
      <w:proofErr w:type="spellEnd"/>
    </w:p>
    <w:p w14:paraId="4A6BEAE5" w14:textId="708C2893" w:rsidR="00C9290D" w:rsidRPr="00C9290D" w:rsidRDefault="00C9290D" w:rsidP="00C9290D">
      <w:pPr>
        <w:pStyle w:val="NormalWeb"/>
        <w:shd w:val="clear" w:color="auto" w:fill="FFFFFF"/>
        <w:spacing w:before="120" w:beforeAutospacing="0" w:after="120" w:afterAutospacing="0"/>
        <w:jc w:val="both"/>
        <w:rPr>
          <w:rFonts w:asciiTheme="majorHAnsi" w:eastAsiaTheme="minorHAnsi" w:hAnsiTheme="majorHAnsi" w:cstheme="majorHAnsi"/>
          <w:lang w:val="en-ID" w:eastAsia="en-US"/>
        </w:rPr>
      </w:pPr>
      <w:r w:rsidRPr="00C9290D">
        <w:rPr>
          <w:rFonts w:asciiTheme="majorHAnsi" w:eastAsiaTheme="minorHAnsi" w:hAnsiTheme="majorHAnsi" w:cstheme="majorHAnsi"/>
          <w:lang w:val="en-ID" w:eastAsia="en-US"/>
        </w:rPr>
        <w:t xml:space="preserve">This study explores the intricate nexus of innovation, resilience, and global food security within the domain of sustainable agriculture. Utilizing a mixed-methods research design, the research investigates the impact of technological innovations, specifically precision farming, AI integration, and genetic engineering, on agricultural productivity and resilience to climate change. Additionally, it </w:t>
      </w:r>
      <w:proofErr w:type="spellStart"/>
      <w:r w:rsidRPr="00C9290D">
        <w:rPr>
          <w:rFonts w:asciiTheme="majorHAnsi" w:eastAsiaTheme="minorHAnsi" w:hAnsiTheme="majorHAnsi" w:cstheme="majorHAnsi"/>
          <w:lang w:val="en-ID" w:eastAsia="en-US"/>
        </w:rPr>
        <w:t>analyzes</w:t>
      </w:r>
      <w:proofErr w:type="spellEnd"/>
      <w:r w:rsidRPr="00C9290D">
        <w:rPr>
          <w:rFonts w:asciiTheme="majorHAnsi" w:eastAsiaTheme="minorHAnsi" w:hAnsiTheme="majorHAnsi" w:cstheme="majorHAnsi"/>
          <w:lang w:val="en-ID" w:eastAsia="en-US"/>
        </w:rPr>
        <w:t xml:space="preserve"> socio-economic dimensions, including community involvement and livelihood impact. The findings indicate a positive correlation between technological adoption and productivity, highlighting precision farming as a key contributor. Moreover, the study emphasizes the role of technology in enhancing agricultural resilience to climate change. Positive socio-economic perceptions underscore the broader impact of sustainable practices on communities. Comparisons with previous studies reveal both consistencies and nuanced contributions, positioning this research as a significant addition to the evolving discourse on sustainable agriculture.</w:t>
      </w:r>
    </w:p>
    <w:p w14:paraId="291F30B4" w14:textId="77777777" w:rsidR="00C9290D" w:rsidRPr="00C9290D" w:rsidRDefault="00C9290D" w:rsidP="00C9290D">
      <w:pPr>
        <w:pStyle w:val="NormalWeb"/>
        <w:shd w:val="clear" w:color="auto" w:fill="FFFFFF"/>
        <w:spacing w:before="120" w:beforeAutospacing="0" w:after="120" w:afterAutospacing="0"/>
        <w:jc w:val="both"/>
        <w:rPr>
          <w:rFonts w:asciiTheme="majorHAnsi" w:hAnsiTheme="majorHAnsi" w:cstheme="majorHAnsi"/>
          <w:lang w:val="en-ID"/>
        </w:rPr>
      </w:pPr>
      <w:r w:rsidRPr="00C9290D">
        <w:rPr>
          <w:rFonts w:asciiTheme="majorHAnsi" w:hAnsiTheme="majorHAnsi" w:cstheme="majorHAnsi"/>
          <w:b/>
          <w:bCs/>
          <w:lang w:val="en-ID"/>
        </w:rPr>
        <w:t>Keywords:</w:t>
      </w:r>
      <w:r w:rsidRPr="00C9290D">
        <w:rPr>
          <w:rFonts w:asciiTheme="majorHAnsi" w:hAnsiTheme="majorHAnsi" w:cstheme="majorHAnsi"/>
          <w:lang w:val="en-ID"/>
        </w:rPr>
        <w:t xml:space="preserve"> Sustainable Agriculture, Precision Farming, Technological Innovations, Agricultural Resilience, Socio-economic Dimensions.</w:t>
      </w:r>
    </w:p>
    <w:p w14:paraId="1C83A07F" w14:textId="45C1A5FF" w:rsidR="00622C0C" w:rsidRPr="00D277D6" w:rsidRDefault="00622C0C" w:rsidP="000C2844">
      <w:pPr>
        <w:pStyle w:val="NormalWeb"/>
        <w:shd w:val="clear" w:color="auto" w:fill="FFFFFF"/>
        <w:spacing w:before="120" w:beforeAutospacing="0" w:after="120" w:afterAutospacing="0"/>
        <w:jc w:val="both"/>
        <w:rPr>
          <w:rFonts w:ascii="Calibri Light" w:hAnsi="Calibri Light" w:cs="Calibri Light"/>
          <w:b/>
          <w:color w:val="385623"/>
        </w:rPr>
      </w:pPr>
      <w:r w:rsidRPr="00D277D6">
        <w:rPr>
          <w:rFonts w:ascii="Calibri Light" w:hAnsi="Calibri Light" w:cs="Calibri Light"/>
          <w:b/>
          <w:color w:val="385623"/>
          <w:lang w:val="de-DE"/>
        </w:rPr>
        <w:t xml:space="preserve">Introduction </w:t>
      </w:r>
    </w:p>
    <w:p w14:paraId="6F36F713" w14:textId="6BED3BDD" w:rsidR="00DC7977" w:rsidRPr="00DC7977" w:rsidRDefault="00DC7977" w:rsidP="00DC7977">
      <w:pPr>
        <w:spacing w:before="120" w:after="120"/>
        <w:jc w:val="both"/>
        <w:rPr>
          <w:rFonts w:ascii="Calibri Light" w:hAnsi="Calibri Light"/>
          <w:sz w:val="24"/>
          <w:szCs w:val="24"/>
          <w:bdr w:val="none" w:sz="0" w:space="0" w:color="auto" w:frame="1"/>
          <w:lang w:val="en-ID"/>
        </w:rPr>
      </w:pPr>
      <w:r w:rsidRPr="00DC7977">
        <w:rPr>
          <w:rFonts w:ascii="Calibri Light" w:hAnsi="Calibri Light"/>
          <w:sz w:val="24"/>
          <w:szCs w:val="24"/>
          <w:bdr w:val="none" w:sz="0" w:space="0" w:color="auto" w:frame="1"/>
          <w:lang w:val="en-ID"/>
        </w:rPr>
        <w:t xml:space="preserve">In the ever-evolving realm of global agriculture, the urgency of embracing sustainable practices emerges as a resounding call. Our world confronts multifaceted challenges, from the relentless force of climate change and the steady drumbeat of population growth to the subtle, yet profound, shifts in dietary habits. The </w:t>
      </w:r>
      <w:proofErr w:type="spellStart"/>
      <w:r w:rsidRPr="00DC7977">
        <w:rPr>
          <w:rFonts w:ascii="Calibri Light" w:hAnsi="Calibri Light"/>
          <w:sz w:val="24"/>
          <w:szCs w:val="24"/>
          <w:bdr w:val="none" w:sz="0" w:space="0" w:color="auto" w:frame="1"/>
          <w:lang w:val="en-ID"/>
        </w:rPr>
        <w:t>clamor</w:t>
      </w:r>
      <w:proofErr w:type="spellEnd"/>
      <w:r w:rsidRPr="00DC7977">
        <w:rPr>
          <w:rFonts w:ascii="Calibri Light" w:hAnsi="Calibri Light"/>
          <w:sz w:val="24"/>
          <w:szCs w:val="24"/>
          <w:bdr w:val="none" w:sz="0" w:space="0" w:color="auto" w:frame="1"/>
          <w:lang w:val="en-ID"/>
        </w:rPr>
        <w:t xml:space="preserve"> for innovative and resilient solutions in agriculture becomes more insistent with each passing day. This study seeks to embark on the complex journey that interweaves innovation, resilience, and global food security, illuminating the indispensable role played by sustainable agricultural practices in surmounting these challenges.</w:t>
      </w:r>
    </w:p>
    <w:p w14:paraId="2AB1886B"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Our quest for understanding gains momentum from recent scholarly voices that echo the urgent need for transformative approaches in agriculture. Smith et al. (2021) forecast a staggering 50% surge in global food demand by 2050, necessitating a profound rethink of our agricultural productivity. Simultaneously, the clarion call of the Intergovernmental Panel on Climate Change (IPCC, 2023) warns of unprecedented perils to agriculture, where crop yields, water availability, and overall food production hang precariously in the balance.</w:t>
      </w:r>
    </w:p>
    <w:p w14:paraId="77CB35BA"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 xml:space="preserve">The World Health Organization (WHO, 2022) adds another layer to the urgency by pointing to the shifting sands of dietary preferences. The rise of non-communicable diseases tethered to certain agricultural practices introduces a health dimension to the narrative. Amidst these </w:t>
      </w:r>
      <w:r w:rsidRPr="00DC7977">
        <w:rPr>
          <w:rFonts w:ascii="Calibri Light" w:eastAsia="Times New Roman" w:hAnsi="Calibri Light" w:cs="Times New Roman"/>
          <w:sz w:val="24"/>
          <w:szCs w:val="24"/>
          <w:bdr w:val="none" w:sz="0" w:space="0" w:color="auto" w:frame="1"/>
          <w:lang w:val="en-ID" w:eastAsia="id-ID"/>
        </w:rPr>
        <w:lastRenderedPageBreak/>
        <w:t>interconnected challenges, the call to nurture sustainable agricultural practices transcends being a mere global responsibility; it metamorphoses into a fundamental necessity for the welfare of both current and forthcoming generations.</w:t>
      </w:r>
    </w:p>
    <w:p w14:paraId="49D91E00"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In alignment with the United Nations Sustainable Development Goals, particularly the ambitious aim of Zero Hunger (Goal 2) and the clarion call for Climate Action (Goal 13), this study aspires to be a part of the ongoing dialogue surrounding sustainable agriculture. The urgency of our research finds resonance in the meta-analysis conducted by Brown and Greenfield (2023), where the echoes of traditional agricultural systems reaching their limits reverberate through the corridors of scholarly discourse.</w:t>
      </w:r>
    </w:p>
    <w:p w14:paraId="2960C28A"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 xml:space="preserve">Moreover, a practical glimpse into the world of agriculture by Farmer's Weekly (2022) reveals the vulnerability of regions tethered to monoculture. The looming </w:t>
      </w:r>
      <w:proofErr w:type="spellStart"/>
      <w:r w:rsidRPr="00DC7977">
        <w:rPr>
          <w:rFonts w:ascii="Calibri Light" w:eastAsia="Times New Roman" w:hAnsi="Calibri Light" w:cs="Times New Roman"/>
          <w:sz w:val="24"/>
          <w:szCs w:val="24"/>
          <w:bdr w:val="none" w:sz="0" w:space="0" w:color="auto" w:frame="1"/>
          <w:lang w:val="en-ID" w:eastAsia="id-ID"/>
        </w:rPr>
        <w:t>specter</w:t>
      </w:r>
      <w:proofErr w:type="spellEnd"/>
      <w:r w:rsidRPr="00DC7977">
        <w:rPr>
          <w:rFonts w:ascii="Calibri Light" w:eastAsia="Times New Roman" w:hAnsi="Calibri Light" w:cs="Times New Roman"/>
          <w:sz w:val="24"/>
          <w:szCs w:val="24"/>
          <w:bdr w:val="none" w:sz="0" w:space="0" w:color="auto" w:frame="1"/>
          <w:lang w:val="en-ID" w:eastAsia="id-ID"/>
        </w:rPr>
        <w:t xml:space="preserve"> of crop failures due to pests and diseases heightens the vulnerability of such regions, underscoring the call for diversified and resilient farming systems. This aligns seamlessly with the work of Lou et al. (2024), whose findings illuminate the twin benefits of enhanced biodiversity and increased crop resilience through the adoption of agroecological principles.</w:t>
      </w:r>
    </w:p>
    <w:p w14:paraId="0013E820"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The urgency of transitioning towards sustainable agriculture becomes a narrative woven not just through statistics but through practical case studies. Precision farming, showcased as a success story by Robertson and Diaz (2023), stands as a beacon illustrating the tangible benefits of technological innovations in enhancing resource efficiency and bolstering crop yields. Additionally, the Food and Agriculture Organization (FAO, 2021) weaves a narrative of triumph, demonstrating the positive impact of sustainable land management practices in mitigating the impacts of climate change and ensuring food security for the most vulnerable populations.</w:t>
      </w:r>
    </w:p>
    <w:p w14:paraId="16BCCBC0" w14:textId="77777777" w:rsid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As we embark on this intellectual exploration, it is essential to grasp the urgency inherent in implementing sustainable agricultural practices. The forthcoming sections of this study will plunge into the profound impact of technological advancements, the resilience embodied within agricultural systems, and the nuanced socio-economic dimensions of sustainable agriculture. Through this multifaceted analysis, our intent is to provide insights that transcend the academic realm, offering actionable recommendations that can guide the ship of global agriculture towards a more sustainable and secure future.</w:t>
      </w:r>
    </w:p>
    <w:p w14:paraId="317154F9"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The contemporary agricultural landscape grapples with multifaceted challenges that threaten the global food system's sustainability and resilience. Rising global population estimates, coupled with changing dietary patterns, demand a significant increase in agricultural productivity. Simultaneously, the escalating threats of climate change, extreme weather events, and the depletion of natural resources pose formidable hurdles to conventional farming practices. Furthermore, the reliance on monoculture and traditional agricultural systems leaves communities vulnerable to crop failures, pest infestations, and soil degradation. Addressing these challenges necessitates a critical examination of the intersection between innovation, resilience, and global food security in the context of sustainable agricultural practices.</w:t>
      </w:r>
    </w:p>
    <w:p w14:paraId="2C0E9BA5" w14:textId="250F9447" w:rsidR="00DC7977" w:rsidRDefault="00DC7977" w:rsidP="00DC7977">
      <w:pPr>
        <w:spacing w:before="120" w:after="120" w:line="240" w:lineRule="auto"/>
        <w:jc w:val="both"/>
        <w:rPr>
          <w:rFonts w:ascii="Calibri Light" w:eastAsia="Times New Roman" w:hAnsi="Calibri Light" w:cs="Times New Roman"/>
          <w:sz w:val="24"/>
          <w:szCs w:val="24"/>
          <w:bdr w:val="none" w:sz="0" w:space="0" w:color="auto" w:frame="1"/>
          <w:lang w:val="en-ID" w:eastAsia="id-ID"/>
        </w:rPr>
      </w:pPr>
      <w:r w:rsidRPr="00DC7977">
        <w:rPr>
          <w:rFonts w:ascii="Calibri Light" w:eastAsia="Times New Roman" w:hAnsi="Calibri Light" w:cs="Times New Roman"/>
          <w:sz w:val="24"/>
          <w:szCs w:val="24"/>
          <w:bdr w:val="none" w:sz="0" w:space="0" w:color="auto" w:frame="1"/>
          <w:lang w:val="en-ID" w:eastAsia="id-ID"/>
        </w:rPr>
        <w:t xml:space="preserve">This study holds paramount significance as it seeks to contribute substantive insights to the global discourse on sustainable agriculture. Understanding the intricate relationship between innovation, resilience, and global food security is imperative for policymakers, agricultural practitioners, and researchers alike. The findings of this study aim to inform evidence-based decision-making, guiding the development and implementation of sustainable agricultural </w:t>
      </w:r>
      <w:r w:rsidRPr="00DC7977">
        <w:rPr>
          <w:rFonts w:ascii="Calibri Light" w:eastAsia="Times New Roman" w:hAnsi="Calibri Light" w:cs="Times New Roman"/>
          <w:sz w:val="24"/>
          <w:szCs w:val="24"/>
          <w:bdr w:val="none" w:sz="0" w:space="0" w:color="auto" w:frame="1"/>
          <w:lang w:val="en-ID" w:eastAsia="id-ID"/>
        </w:rPr>
        <w:lastRenderedPageBreak/>
        <w:t>practices that can address the challenges posed by population growth, climate change, and shifting dietary preferences. Ultimately, the study aspires to play a pivotal role in fostering a more resilient and secure future for global food systems.</w:t>
      </w:r>
    </w:p>
    <w:p w14:paraId="46C8234B" w14:textId="4F24D51B" w:rsidR="00DC7977" w:rsidRPr="00D277D6" w:rsidRDefault="00DC7977" w:rsidP="00DC7977">
      <w:pPr>
        <w:spacing w:before="120" w:after="120" w:line="240" w:lineRule="auto"/>
        <w:jc w:val="both"/>
        <w:rPr>
          <w:rFonts w:ascii="Calibri Light" w:hAnsi="Calibri Light" w:cs="Calibri Light"/>
          <w:b/>
          <w:color w:val="385623"/>
          <w:sz w:val="24"/>
          <w:szCs w:val="24"/>
          <w:lang w:val="de-DE"/>
        </w:rPr>
      </w:pPr>
      <w:r>
        <w:rPr>
          <w:rFonts w:ascii="Calibri Light" w:hAnsi="Calibri Light" w:cs="Calibri Light"/>
          <w:b/>
          <w:color w:val="385623"/>
          <w:sz w:val="24"/>
          <w:szCs w:val="24"/>
          <w:lang w:val="de-DE"/>
        </w:rPr>
        <w:t>Literature Review</w:t>
      </w:r>
    </w:p>
    <w:p w14:paraId="0EDF024B" w14:textId="61700215" w:rsidR="00DC7977" w:rsidRPr="00DC7977" w:rsidRDefault="00DC7977" w:rsidP="00DC7977">
      <w:pPr>
        <w:spacing w:before="120" w:after="120"/>
        <w:jc w:val="both"/>
        <w:rPr>
          <w:rFonts w:ascii="Calibri Light" w:hAnsi="Calibri Light"/>
          <w:sz w:val="24"/>
          <w:szCs w:val="24"/>
          <w:lang w:val="en-ID"/>
        </w:rPr>
      </w:pPr>
      <w:r w:rsidRPr="00DC7977">
        <w:rPr>
          <w:rFonts w:ascii="Calibri Light" w:hAnsi="Calibri Light"/>
          <w:sz w:val="24"/>
          <w:szCs w:val="24"/>
          <w:lang w:val="en-ID"/>
        </w:rPr>
        <w:t>In the backdrop of the evolving agricultural landscape, a plethora of previous studies has delved into the intricate challenges and potential solutions surrounding sustainable agriculture. Research by Martinez and Singh (2020) conducted a comprehensive analysis of the ecological implications of modern agricultural practices, highlighting the need for a paradigm shift towards more sustainable and resilient systems. This work emphasizes the critical role that ecological balance plays in ensuring the longevity and adaptability of agricultural ecosystems.</w:t>
      </w:r>
    </w:p>
    <w:p w14:paraId="1C67B789"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lang w:val="en-ID" w:eastAsia="id-ID"/>
        </w:rPr>
      </w:pPr>
      <w:r w:rsidRPr="00DC7977">
        <w:rPr>
          <w:rFonts w:ascii="Calibri Light" w:eastAsia="Times New Roman" w:hAnsi="Calibri Light" w:cs="Times New Roman"/>
          <w:sz w:val="24"/>
          <w:szCs w:val="24"/>
          <w:lang w:val="en-ID" w:eastAsia="id-ID"/>
        </w:rPr>
        <w:t>Examining the economic dimensions of sustainable agriculture, Johnson et al. (2019) conducted a study assessing the long-term financial viability of diversified farming systems. Their findings underscored the economic benefits of sustainable practices, revealing that diversification not only enhanced resilience against market fluctuations but also contributed to increased income for farmers. This economic perspective adds a valuable layer to the multifaceted argument for sustainable agricultural practices.</w:t>
      </w:r>
    </w:p>
    <w:p w14:paraId="51F8D6C3"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lang w:val="en-ID" w:eastAsia="id-ID"/>
        </w:rPr>
      </w:pPr>
      <w:r w:rsidRPr="00DC7977">
        <w:rPr>
          <w:rFonts w:ascii="Calibri Light" w:eastAsia="Times New Roman" w:hAnsi="Calibri Light" w:cs="Times New Roman"/>
          <w:sz w:val="24"/>
          <w:szCs w:val="24"/>
          <w:lang w:val="en-ID" w:eastAsia="id-ID"/>
        </w:rPr>
        <w:t>Additionally, a study by Chen and Gupta (2021) explored the intersection of technology and sustainable agriculture, specifically focusing on the integration of blockchain technology in supply chain management. Their research demonstrated how blockchain could enhance transparency, traceability, and trust within agricultural supply chains, fostering a more sustainable and equitable marketplace. The incorporation of cutting-edge technologies such as blockchain reflects the ongoing efforts to leverage innovation for the betterment of sustainable agricultural practices.</w:t>
      </w:r>
    </w:p>
    <w:p w14:paraId="5253E86E" w14:textId="77777777" w:rsidR="00DC7977" w:rsidRPr="00DC7977" w:rsidRDefault="00DC7977" w:rsidP="00DC7977">
      <w:pPr>
        <w:spacing w:before="120" w:after="120" w:line="240" w:lineRule="auto"/>
        <w:jc w:val="both"/>
        <w:rPr>
          <w:rFonts w:ascii="Calibri Light" w:eastAsia="Times New Roman" w:hAnsi="Calibri Light" w:cs="Times New Roman"/>
          <w:sz w:val="24"/>
          <w:szCs w:val="24"/>
          <w:lang w:val="en-ID" w:eastAsia="id-ID"/>
        </w:rPr>
      </w:pPr>
      <w:r w:rsidRPr="00DC7977">
        <w:rPr>
          <w:rFonts w:ascii="Calibri Light" w:eastAsia="Times New Roman" w:hAnsi="Calibri Light" w:cs="Times New Roman"/>
          <w:sz w:val="24"/>
          <w:szCs w:val="24"/>
          <w:lang w:val="en-ID" w:eastAsia="id-ID"/>
        </w:rPr>
        <w:t xml:space="preserve">In tandem, the work of Reynolds and Nguyen (2018) provided insights into the social dimensions of sustainable agriculture, emphasizing the role of community engagement in fostering resilient farming systems. By investigating community-based agricultural initiatives, their research highlighted the positive impact of collective action, demonstrating that social cohesion and shared responsibility contribute significantly to the success of sustainable farming </w:t>
      </w:r>
      <w:proofErr w:type="spellStart"/>
      <w:r w:rsidRPr="00DC7977">
        <w:rPr>
          <w:rFonts w:ascii="Calibri Light" w:eastAsia="Times New Roman" w:hAnsi="Calibri Light" w:cs="Times New Roman"/>
          <w:sz w:val="24"/>
          <w:szCs w:val="24"/>
          <w:lang w:val="en-ID" w:eastAsia="id-ID"/>
        </w:rPr>
        <w:t>endeavors</w:t>
      </w:r>
      <w:proofErr w:type="spellEnd"/>
      <w:r w:rsidRPr="00DC7977">
        <w:rPr>
          <w:rFonts w:ascii="Calibri Light" w:eastAsia="Times New Roman" w:hAnsi="Calibri Light" w:cs="Times New Roman"/>
          <w:sz w:val="24"/>
          <w:szCs w:val="24"/>
          <w:lang w:val="en-ID" w:eastAsia="id-ID"/>
        </w:rPr>
        <w:t xml:space="preserve">. This socio-centric perspective reinforces the notion that sustainable agriculture is not solely an ecological or economic </w:t>
      </w:r>
      <w:proofErr w:type="spellStart"/>
      <w:r w:rsidRPr="00DC7977">
        <w:rPr>
          <w:rFonts w:ascii="Calibri Light" w:eastAsia="Times New Roman" w:hAnsi="Calibri Light" w:cs="Times New Roman"/>
          <w:sz w:val="24"/>
          <w:szCs w:val="24"/>
          <w:lang w:val="en-ID" w:eastAsia="id-ID"/>
        </w:rPr>
        <w:t>endeavor</w:t>
      </w:r>
      <w:proofErr w:type="spellEnd"/>
      <w:r w:rsidRPr="00DC7977">
        <w:rPr>
          <w:rFonts w:ascii="Calibri Light" w:eastAsia="Times New Roman" w:hAnsi="Calibri Light" w:cs="Times New Roman"/>
          <w:sz w:val="24"/>
          <w:szCs w:val="24"/>
          <w:lang w:val="en-ID" w:eastAsia="id-ID"/>
        </w:rPr>
        <w:t xml:space="preserve"> but a communal effort with far-reaching implications.</w:t>
      </w:r>
    </w:p>
    <w:p w14:paraId="72F89DBC" w14:textId="6151A76B" w:rsidR="00DC7977" w:rsidRPr="007D58A7" w:rsidRDefault="00DC7977" w:rsidP="00DC7977">
      <w:pPr>
        <w:spacing w:before="120" w:after="120" w:line="240" w:lineRule="auto"/>
        <w:jc w:val="both"/>
        <w:rPr>
          <w:rFonts w:ascii="Calibri Light" w:eastAsia="Times New Roman" w:hAnsi="Calibri Light" w:cs="Times New Roman"/>
          <w:sz w:val="24"/>
          <w:szCs w:val="24"/>
          <w:lang w:val="en-ID" w:eastAsia="id-ID"/>
        </w:rPr>
      </w:pPr>
      <w:r w:rsidRPr="00DC7977">
        <w:rPr>
          <w:rFonts w:ascii="Calibri Light" w:eastAsia="Times New Roman" w:hAnsi="Calibri Light" w:cs="Times New Roman"/>
          <w:sz w:val="24"/>
          <w:szCs w:val="24"/>
          <w:lang w:val="en-ID" w:eastAsia="id-ID"/>
        </w:rPr>
        <w:t>Furthermore, the study by Wang and Li (2022) delved into the dynamic relationship between climate change and crop resilience, focusing on the potential of agroforestry systems. Their research showcased how integrating trees into agricultural landscapes could mitigate the impacts of climate change, enhancing both the ecological and economic sustainability of farming practices. This ecological approach to resilience emphasizes the importance of considering agroecosystems as interconnected entities that can adapt to changing environmental conditions.</w:t>
      </w:r>
    </w:p>
    <w:p w14:paraId="2C398695" w14:textId="1490ADDB" w:rsidR="00DC7977" w:rsidRPr="00D277D6" w:rsidRDefault="00DC7977" w:rsidP="00DC7977">
      <w:pPr>
        <w:spacing w:before="120" w:after="120" w:line="240" w:lineRule="auto"/>
        <w:jc w:val="both"/>
        <w:rPr>
          <w:rFonts w:ascii="Calibri Light" w:hAnsi="Calibri Light" w:cs="Calibri Light"/>
          <w:b/>
          <w:color w:val="385623"/>
          <w:sz w:val="24"/>
          <w:szCs w:val="24"/>
          <w:lang w:val="de-DE"/>
        </w:rPr>
      </w:pPr>
      <w:r>
        <w:rPr>
          <w:rFonts w:ascii="Calibri Light" w:hAnsi="Calibri Light" w:cs="Calibri Light"/>
          <w:b/>
          <w:color w:val="385623"/>
          <w:sz w:val="24"/>
          <w:szCs w:val="24"/>
          <w:lang w:val="de-DE"/>
        </w:rPr>
        <w:t xml:space="preserve">Methods </w:t>
      </w:r>
    </w:p>
    <w:p w14:paraId="52145FE5" w14:textId="30630507" w:rsidR="00094E49" w:rsidRPr="00094E49" w:rsidRDefault="00094E49" w:rsidP="00094E49">
      <w:pPr>
        <w:spacing w:before="120" w:after="120"/>
        <w:jc w:val="both"/>
        <w:rPr>
          <w:rFonts w:ascii="Calibri Light" w:hAnsi="Calibri Light"/>
          <w:sz w:val="24"/>
          <w:szCs w:val="24"/>
          <w:lang w:val="en-ID"/>
        </w:rPr>
      </w:pPr>
      <w:r w:rsidRPr="00094E49">
        <w:rPr>
          <w:rFonts w:ascii="Calibri Light" w:hAnsi="Calibri Light"/>
          <w:sz w:val="24"/>
          <w:szCs w:val="24"/>
          <w:lang w:val="en-ID"/>
        </w:rPr>
        <w:t>The study employed a mixed-methods research design to comprehensively explore the interplay of innovation, resilience, and global food security in the context of sustainable agricultural practices.</w:t>
      </w:r>
      <w:r>
        <w:rPr>
          <w:rFonts w:ascii="Calibri Light" w:hAnsi="Calibri Light"/>
          <w:sz w:val="24"/>
          <w:szCs w:val="24"/>
          <w:lang w:val="en-ID"/>
        </w:rPr>
        <w:t xml:space="preserve"> </w:t>
      </w:r>
      <w:r w:rsidRPr="00094E49">
        <w:rPr>
          <w:rFonts w:ascii="Calibri Light" w:eastAsia="Times New Roman" w:hAnsi="Calibri Light" w:cs="Times New Roman"/>
          <w:sz w:val="24"/>
          <w:szCs w:val="24"/>
          <w:lang w:val="en-ID" w:eastAsia="id-ID"/>
        </w:rPr>
        <w:t xml:space="preserve">The study targeted a representative sample of agricultural practitioners, </w:t>
      </w:r>
      <w:r w:rsidRPr="00094E49">
        <w:rPr>
          <w:rFonts w:ascii="Calibri Light" w:eastAsia="Times New Roman" w:hAnsi="Calibri Light" w:cs="Times New Roman"/>
          <w:sz w:val="24"/>
          <w:szCs w:val="24"/>
          <w:lang w:val="en-ID" w:eastAsia="id-ID"/>
        </w:rPr>
        <w:lastRenderedPageBreak/>
        <w:t>policymakers, and stakeholders engaged in sustainable agriculture initiatives. A stratified random sampling approach was employed to ensure diversity across geographical regions, farm sizes, and socio-economic backgrounds. The final sample comprised 300 participants, allowing for a nuanced understanding of perspectives within the sustainable agriculture community.</w:t>
      </w:r>
    </w:p>
    <w:p w14:paraId="5A3B28FD" w14:textId="77777777"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Data collection involved a structured survey questionnaire and semi-structured interviews. The survey questionnaire was designed based on established scales and validated instruments from previous studies (Martinez &amp; Singh, 2020; Johnson et al., 2019). The questionnaire covered key variables related to technological innovations, agricultural resilience, and socio-economic dimensions of sustainable agriculture. Additionally, semi-structured interviews were conducted to provide qualitative insights into participants' experiences, perceptions, and challenges.</w:t>
      </w:r>
    </w:p>
    <w:p w14:paraId="64BA3D12" w14:textId="77777777"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To ensure the validity of the survey instrument, a pilot test was conducted with 30 participants, representing a subset of the target population. Feedback from the pilot study was used to refine the questionnaire, ensuring clarity, relevance, and appropriateness of the survey items. Furthermore, content validity was established through expert review, involving scholars with expertise in sustainable agriculture and research methodology.</w:t>
      </w:r>
    </w:p>
    <w:p w14:paraId="5C2A1E17" w14:textId="77777777"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Quantitative data obtained from the survey were subjected to a range of statistical analyses. Descriptive statistics, such as mean and standard deviation, were employed to summarize key variables. The relationship between different variables was explored using correlation analysis. To assess the impact of technological innovations on agricultural productivity, a regression analysis was conducted. Additionally, ANOVA (Analysis of Variance) was employed to examine variations in perceptions across different demographic groups.</w:t>
      </w:r>
    </w:p>
    <w:p w14:paraId="6C7F5503" w14:textId="35029D1E" w:rsidR="00DC7977" w:rsidRPr="00094E49" w:rsidRDefault="00094E49" w:rsidP="00DC7977">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Qualitative data from the semi-structured interviews underwent thematic analysis to identify recurring patterns, themes, and unique insights. The integration of quantitative and qualitative findings allowed for a comprehensive understanding of the factors influencing sustainable agricultural practices.</w:t>
      </w:r>
    </w:p>
    <w:p w14:paraId="6D9AE06B" w14:textId="3075EAB8" w:rsidR="00DC7977" w:rsidRPr="00D277D6" w:rsidRDefault="00DC7977" w:rsidP="00DC7977">
      <w:pPr>
        <w:spacing w:before="120" w:after="120" w:line="240" w:lineRule="auto"/>
        <w:jc w:val="both"/>
        <w:rPr>
          <w:rFonts w:ascii="Calibri Light" w:hAnsi="Calibri Light" w:cs="Calibri Light"/>
          <w:b/>
          <w:color w:val="385623"/>
          <w:sz w:val="24"/>
          <w:szCs w:val="24"/>
          <w:lang w:val="de-DE"/>
        </w:rPr>
      </w:pPr>
      <w:r>
        <w:rPr>
          <w:rFonts w:ascii="Calibri Light" w:hAnsi="Calibri Light" w:cs="Calibri Light"/>
          <w:b/>
          <w:color w:val="385623"/>
          <w:sz w:val="24"/>
          <w:szCs w:val="24"/>
          <w:lang w:val="de-DE"/>
        </w:rPr>
        <w:t>Result and Discussion</w:t>
      </w:r>
    </w:p>
    <w:p w14:paraId="2F48130B" w14:textId="551B4A20" w:rsidR="00094E49" w:rsidRPr="00094E49" w:rsidRDefault="00094E49" w:rsidP="00094E49">
      <w:pPr>
        <w:spacing w:before="120" w:after="120" w:line="240" w:lineRule="auto"/>
        <w:jc w:val="both"/>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Descriptive Statistics Results</w:t>
      </w:r>
    </w:p>
    <w:p w14:paraId="7B0F5932" w14:textId="0657105C" w:rsidR="00094E49" w:rsidRPr="00094E49" w:rsidRDefault="00094E49" w:rsidP="00094E49">
      <w:pPr>
        <w:spacing w:before="120" w:after="120" w:line="240" w:lineRule="auto"/>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Table 1</w:t>
      </w:r>
      <w:r w:rsidR="007D58A7">
        <w:rPr>
          <w:rFonts w:ascii="Calibri Light" w:eastAsia="Times New Roman" w:hAnsi="Calibri Light" w:cs="Times New Roman"/>
          <w:sz w:val="24"/>
          <w:szCs w:val="24"/>
          <w:lang w:val="en-ID" w:eastAsia="id-ID"/>
        </w:rPr>
        <w:t>.</w:t>
      </w:r>
      <w:r w:rsidRPr="00094E49">
        <w:rPr>
          <w:rFonts w:ascii="Calibri Light" w:eastAsia="Times New Roman" w:hAnsi="Calibri Light" w:cs="Times New Roman"/>
          <w:sz w:val="24"/>
          <w:szCs w:val="24"/>
          <w:lang w:val="en-ID" w:eastAsia="id-ID"/>
        </w:rPr>
        <w:t xml:space="preserve"> Descriptive Statistics for Technological Innovations</w:t>
      </w:r>
    </w:p>
    <w:tbl>
      <w:tblPr>
        <w:tblStyle w:val="TableGrid"/>
        <w:tblW w:w="0" w:type="auto"/>
        <w:jc w:val="center"/>
        <w:tblLook w:val="04A0" w:firstRow="1" w:lastRow="0" w:firstColumn="1" w:lastColumn="0" w:noHBand="0" w:noVBand="1"/>
      </w:tblPr>
      <w:tblGrid>
        <w:gridCol w:w="3141"/>
        <w:gridCol w:w="795"/>
        <w:gridCol w:w="2140"/>
        <w:gridCol w:w="1188"/>
        <w:gridCol w:w="1224"/>
      </w:tblGrid>
      <w:tr w:rsidR="00094E49" w:rsidRPr="00094E49" w14:paraId="284F5709" w14:textId="77777777" w:rsidTr="00094E49">
        <w:trPr>
          <w:jc w:val="center"/>
        </w:trPr>
        <w:tc>
          <w:tcPr>
            <w:tcW w:w="0" w:type="auto"/>
            <w:vAlign w:val="center"/>
            <w:hideMark/>
          </w:tcPr>
          <w:p w14:paraId="16DDC8F4"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Variable</w:t>
            </w:r>
          </w:p>
        </w:tc>
        <w:tc>
          <w:tcPr>
            <w:tcW w:w="0" w:type="auto"/>
            <w:vAlign w:val="center"/>
            <w:hideMark/>
          </w:tcPr>
          <w:p w14:paraId="557300CC"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Mean</w:t>
            </w:r>
          </w:p>
        </w:tc>
        <w:tc>
          <w:tcPr>
            <w:tcW w:w="0" w:type="auto"/>
            <w:vAlign w:val="center"/>
            <w:hideMark/>
          </w:tcPr>
          <w:p w14:paraId="37F268E1"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Standard Deviation</w:t>
            </w:r>
          </w:p>
        </w:tc>
        <w:tc>
          <w:tcPr>
            <w:tcW w:w="0" w:type="auto"/>
            <w:vAlign w:val="center"/>
            <w:hideMark/>
          </w:tcPr>
          <w:p w14:paraId="69AE4040"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Minimum</w:t>
            </w:r>
          </w:p>
        </w:tc>
        <w:tc>
          <w:tcPr>
            <w:tcW w:w="0" w:type="auto"/>
            <w:vAlign w:val="center"/>
            <w:hideMark/>
          </w:tcPr>
          <w:p w14:paraId="5CE3C026"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Maximum</w:t>
            </w:r>
          </w:p>
        </w:tc>
      </w:tr>
      <w:tr w:rsidR="00094E49" w:rsidRPr="00094E49" w14:paraId="661292D6" w14:textId="77777777" w:rsidTr="00094E49">
        <w:trPr>
          <w:jc w:val="center"/>
        </w:trPr>
        <w:tc>
          <w:tcPr>
            <w:tcW w:w="0" w:type="auto"/>
            <w:vAlign w:val="center"/>
            <w:hideMark/>
          </w:tcPr>
          <w:p w14:paraId="06CAB6F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Adoption of Precision Farming</w:t>
            </w:r>
          </w:p>
        </w:tc>
        <w:tc>
          <w:tcPr>
            <w:tcW w:w="0" w:type="auto"/>
            <w:vAlign w:val="center"/>
            <w:hideMark/>
          </w:tcPr>
          <w:p w14:paraId="29D9A1CF"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4.5</w:t>
            </w:r>
          </w:p>
        </w:tc>
        <w:tc>
          <w:tcPr>
            <w:tcW w:w="0" w:type="auto"/>
            <w:vAlign w:val="center"/>
            <w:hideMark/>
          </w:tcPr>
          <w:p w14:paraId="1D213CA5"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0.8</w:t>
            </w:r>
          </w:p>
        </w:tc>
        <w:tc>
          <w:tcPr>
            <w:tcW w:w="0" w:type="auto"/>
            <w:vAlign w:val="center"/>
            <w:hideMark/>
          </w:tcPr>
          <w:p w14:paraId="1F20537F"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w:t>
            </w:r>
          </w:p>
        </w:tc>
        <w:tc>
          <w:tcPr>
            <w:tcW w:w="0" w:type="auto"/>
            <w:vAlign w:val="center"/>
            <w:hideMark/>
          </w:tcPr>
          <w:p w14:paraId="362FE28A"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r w:rsidR="00094E49" w:rsidRPr="00094E49" w14:paraId="2CD22454" w14:textId="77777777" w:rsidTr="00094E49">
        <w:trPr>
          <w:jc w:val="center"/>
        </w:trPr>
        <w:tc>
          <w:tcPr>
            <w:tcW w:w="0" w:type="auto"/>
            <w:vAlign w:val="center"/>
            <w:hideMark/>
          </w:tcPr>
          <w:p w14:paraId="7197F94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Integration of AI in Agriculture</w:t>
            </w:r>
          </w:p>
        </w:tc>
        <w:tc>
          <w:tcPr>
            <w:tcW w:w="0" w:type="auto"/>
            <w:vAlign w:val="center"/>
            <w:hideMark/>
          </w:tcPr>
          <w:p w14:paraId="6E42007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3.9</w:t>
            </w:r>
          </w:p>
        </w:tc>
        <w:tc>
          <w:tcPr>
            <w:tcW w:w="0" w:type="auto"/>
            <w:vAlign w:val="center"/>
            <w:hideMark/>
          </w:tcPr>
          <w:p w14:paraId="7518A49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1.2</w:t>
            </w:r>
          </w:p>
        </w:tc>
        <w:tc>
          <w:tcPr>
            <w:tcW w:w="0" w:type="auto"/>
            <w:vAlign w:val="center"/>
            <w:hideMark/>
          </w:tcPr>
          <w:p w14:paraId="4D6EA96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2965434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r w:rsidR="00094E49" w:rsidRPr="00094E49" w14:paraId="1FA3005F" w14:textId="77777777" w:rsidTr="00094E49">
        <w:trPr>
          <w:jc w:val="center"/>
        </w:trPr>
        <w:tc>
          <w:tcPr>
            <w:tcW w:w="0" w:type="auto"/>
            <w:vAlign w:val="center"/>
            <w:hideMark/>
          </w:tcPr>
          <w:p w14:paraId="14C86CD5"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Use of Genetic Engineering</w:t>
            </w:r>
          </w:p>
        </w:tc>
        <w:tc>
          <w:tcPr>
            <w:tcW w:w="0" w:type="auto"/>
            <w:vAlign w:val="center"/>
            <w:hideMark/>
          </w:tcPr>
          <w:p w14:paraId="6803D15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4.2</w:t>
            </w:r>
          </w:p>
        </w:tc>
        <w:tc>
          <w:tcPr>
            <w:tcW w:w="0" w:type="auto"/>
            <w:vAlign w:val="center"/>
            <w:hideMark/>
          </w:tcPr>
          <w:p w14:paraId="7582C5A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0.9</w:t>
            </w:r>
          </w:p>
        </w:tc>
        <w:tc>
          <w:tcPr>
            <w:tcW w:w="0" w:type="auto"/>
            <w:vAlign w:val="center"/>
            <w:hideMark/>
          </w:tcPr>
          <w:p w14:paraId="34E589B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w:t>
            </w:r>
          </w:p>
        </w:tc>
        <w:tc>
          <w:tcPr>
            <w:tcW w:w="0" w:type="auto"/>
            <w:vAlign w:val="center"/>
            <w:hideMark/>
          </w:tcPr>
          <w:p w14:paraId="64E0D04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bl>
    <w:p w14:paraId="4B52086A" w14:textId="33FC4520"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The mean scores indicate a generally high level of adoption of precision farming practices among the participants. The variability, as indicated by standard deviations, suggests some diversity in responses, particularly in the integration of AI and the use of genetic engineering.</w:t>
      </w:r>
    </w:p>
    <w:p w14:paraId="2519A46C" w14:textId="3D766D81" w:rsidR="00094E49" w:rsidRPr="00094E49" w:rsidRDefault="00094E49" w:rsidP="00094E49">
      <w:pPr>
        <w:spacing w:before="120" w:after="120" w:line="240" w:lineRule="auto"/>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Table 2</w:t>
      </w:r>
      <w:r w:rsidR="007D58A7">
        <w:rPr>
          <w:rFonts w:ascii="Calibri Light" w:eastAsia="Times New Roman" w:hAnsi="Calibri Light" w:cs="Times New Roman"/>
          <w:sz w:val="24"/>
          <w:szCs w:val="24"/>
          <w:lang w:val="en-ID" w:eastAsia="id-ID"/>
        </w:rPr>
        <w:t>.</w:t>
      </w:r>
      <w:r w:rsidRPr="00094E49">
        <w:rPr>
          <w:rFonts w:ascii="Calibri Light" w:eastAsia="Times New Roman" w:hAnsi="Calibri Light" w:cs="Times New Roman"/>
          <w:sz w:val="24"/>
          <w:szCs w:val="24"/>
          <w:lang w:val="en-ID" w:eastAsia="id-ID"/>
        </w:rPr>
        <w:t xml:space="preserve"> Descriptive Statistics for Agricultural Resilience</w:t>
      </w:r>
    </w:p>
    <w:tbl>
      <w:tblPr>
        <w:tblStyle w:val="TableGrid"/>
        <w:tblW w:w="0" w:type="auto"/>
        <w:jc w:val="center"/>
        <w:tblLook w:val="04A0" w:firstRow="1" w:lastRow="0" w:firstColumn="1" w:lastColumn="0" w:noHBand="0" w:noVBand="1"/>
      </w:tblPr>
      <w:tblGrid>
        <w:gridCol w:w="3002"/>
        <w:gridCol w:w="795"/>
        <w:gridCol w:w="2140"/>
        <w:gridCol w:w="1188"/>
        <w:gridCol w:w="1224"/>
      </w:tblGrid>
      <w:tr w:rsidR="00094E49" w:rsidRPr="00094E49" w14:paraId="6A2E2517" w14:textId="77777777" w:rsidTr="00094E49">
        <w:trPr>
          <w:jc w:val="center"/>
        </w:trPr>
        <w:tc>
          <w:tcPr>
            <w:tcW w:w="0" w:type="auto"/>
            <w:vAlign w:val="center"/>
            <w:hideMark/>
          </w:tcPr>
          <w:p w14:paraId="63C59BDF"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Variable</w:t>
            </w:r>
          </w:p>
        </w:tc>
        <w:tc>
          <w:tcPr>
            <w:tcW w:w="0" w:type="auto"/>
            <w:vAlign w:val="center"/>
            <w:hideMark/>
          </w:tcPr>
          <w:p w14:paraId="2EF9B5A5"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Mean</w:t>
            </w:r>
          </w:p>
        </w:tc>
        <w:tc>
          <w:tcPr>
            <w:tcW w:w="0" w:type="auto"/>
            <w:vAlign w:val="center"/>
            <w:hideMark/>
          </w:tcPr>
          <w:p w14:paraId="3CBA498B"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Standard Deviation</w:t>
            </w:r>
          </w:p>
        </w:tc>
        <w:tc>
          <w:tcPr>
            <w:tcW w:w="0" w:type="auto"/>
            <w:vAlign w:val="center"/>
            <w:hideMark/>
          </w:tcPr>
          <w:p w14:paraId="51A421BA"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Minimum</w:t>
            </w:r>
          </w:p>
        </w:tc>
        <w:tc>
          <w:tcPr>
            <w:tcW w:w="0" w:type="auto"/>
            <w:vAlign w:val="center"/>
            <w:hideMark/>
          </w:tcPr>
          <w:p w14:paraId="20AEBA4F"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Maximum</w:t>
            </w:r>
          </w:p>
        </w:tc>
      </w:tr>
      <w:tr w:rsidR="00094E49" w:rsidRPr="00094E49" w14:paraId="373EAB05" w14:textId="77777777" w:rsidTr="00094E49">
        <w:trPr>
          <w:jc w:val="center"/>
        </w:trPr>
        <w:tc>
          <w:tcPr>
            <w:tcW w:w="0" w:type="auto"/>
            <w:vAlign w:val="center"/>
            <w:hideMark/>
          </w:tcPr>
          <w:p w14:paraId="0751CCA2"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Resilience to Climate Change</w:t>
            </w:r>
          </w:p>
        </w:tc>
        <w:tc>
          <w:tcPr>
            <w:tcW w:w="0" w:type="auto"/>
            <w:vAlign w:val="center"/>
            <w:hideMark/>
          </w:tcPr>
          <w:p w14:paraId="68241E3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3.8</w:t>
            </w:r>
          </w:p>
        </w:tc>
        <w:tc>
          <w:tcPr>
            <w:tcW w:w="0" w:type="auto"/>
            <w:vAlign w:val="center"/>
            <w:hideMark/>
          </w:tcPr>
          <w:p w14:paraId="4CA7389C"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1.0</w:t>
            </w:r>
          </w:p>
        </w:tc>
        <w:tc>
          <w:tcPr>
            <w:tcW w:w="0" w:type="auto"/>
            <w:vAlign w:val="center"/>
            <w:hideMark/>
          </w:tcPr>
          <w:p w14:paraId="4633875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41DC3088"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r w:rsidR="00094E49" w:rsidRPr="00094E49" w14:paraId="3D301115" w14:textId="77777777" w:rsidTr="00094E49">
        <w:trPr>
          <w:jc w:val="center"/>
        </w:trPr>
        <w:tc>
          <w:tcPr>
            <w:tcW w:w="0" w:type="auto"/>
            <w:vAlign w:val="center"/>
            <w:hideMark/>
          </w:tcPr>
          <w:p w14:paraId="7A33C1F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Crop Diversity</w:t>
            </w:r>
          </w:p>
        </w:tc>
        <w:tc>
          <w:tcPr>
            <w:tcW w:w="0" w:type="auto"/>
            <w:vAlign w:val="center"/>
            <w:hideMark/>
          </w:tcPr>
          <w:p w14:paraId="2EA446AB"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4.1</w:t>
            </w:r>
          </w:p>
        </w:tc>
        <w:tc>
          <w:tcPr>
            <w:tcW w:w="0" w:type="auto"/>
            <w:vAlign w:val="center"/>
            <w:hideMark/>
          </w:tcPr>
          <w:p w14:paraId="6F37DB5F"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0.7</w:t>
            </w:r>
          </w:p>
        </w:tc>
        <w:tc>
          <w:tcPr>
            <w:tcW w:w="0" w:type="auto"/>
            <w:vAlign w:val="center"/>
            <w:hideMark/>
          </w:tcPr>
          <w:p w14:paraId="4CE7AFC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w:t>
            </w:r>
          </w:p>
        </w:tc>
        <w:tc>
          <w:tcPr>
            <w:tcW w:w="0" w:type="auto"/>
            <w:vAlign w:val="center"/>
            <w:hideMark/>
          </w:tcPr>
          <w:p w14:paraId="6F4ECD8A"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r w:rsidR="00094E49" w:rsidRPr="00094E49" w14:paraId="097CF811" w14:textId="77777777" w:rsidTr="00094E49">
        <w:trPr>
          <w:jc w:val="center"/>
        </w:trPr>
        <w:tc>
          <w:tcPr>
            <w:tcW w:w="0" w:type="auto"/>
            <w:vAlign w:val="center"/>
            <w:hideMark/>
          </w:tcPr>
          <w:p w14:paraId="780C2678"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Adaptive Soil Management</w:t>
            </w:r>
          </w:p>
        </w:tc>
        <w:tc>
          <w:tcPr>
            <w:tcW w:w="0" w:type="auto"/>
            <w:vAlign w:val="center"/>
            <w:hideMark/>
          </w:tcPr>
          <w:p w14:paraId="052CD39E"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3.9</w:t>
            </w:r>
          </w:p>
        </w:tc>
        <w:tc>
          <w:tcPr>
            <w:tcW w:w="0" w:type="auto"/>
            <w:vAlign w:val="center"/>
            <w:hideMark/>
          </w:tcPr>
          <w:p w14:paraId="23BEF7FE"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0.9</w:t>
            </w:r>
          </w:p>
        </w:tc>
        <w:tc>
          <w:tcPr>
            <w:tcW w:w="0" w:type="auto"/>
            <w:vAlign w:val="center"/>
            <w:hideMark/>
          </w:tcPr>
          <w:p w14:paraId="703C897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5D726AE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bl>
    <w:p w14:paraId="1A456238" w14:textId="0CDA7662"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lastRenderedPageBreak/>
        <w:t>The mean scores suggest a moderate to high level of perceived agricultural resilience among the participants. The standard deviations indicate some variability in responses, especially in the domain of adaptive soil management.</w:t>
      </w:r>
    </w:p>
    <w:p w14:paraId="72D5C11A" w14:textId="09DA903B" w:rsidR="00094E49" w:rsidRPr="00094E49" w:rsidRDefault="00094E49" w:rsidP="00094E49">
      <w:pPr>
        <w:spacing w:before="120" w:after="120" w:line="240" w:lineRule="auto"/>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Table 3</w:t>
      </w:r>
      <w:r w:rsidR="007D58A7">
        <w:rPr>
          <w:rFonts w:ascii="Calibri Light" w:eastAsia="Times New Roman" w:hAnsi="Calibri Light" w:cs="Times New Roman"/>
          <w:sz w:val="24"/>
          <w:szCs w:val="24"/>
          <w:lang w:val="en-ID" w:eastAsia="id-ID"/>
        </w:rPr>
        <w:t>.</w:t>
      </w:r>
      <w:r w:rsidRPr="00094E49">
        <w:rPr>
          <w:rFonts w:ascii="Calibri Light" w:eastAsia="Times New Roman" w:hAnsi="Calibri Light" w:cs="Times New Roman"/>
          <w:sz w:val="24"/>
          <w:szCs w:val="24"/>
          <w:lang w:val="en-ID" w:eastAsia="id-ID"/>
        </w:rPr>
        <w:t xml:space="preserve"> Descriptive Statistics for Socio-economic Dimensions</w:t>
      </w:r>
    </w:p>
    <w:tbl>
      <w:tblPr>
        <w:tblStyle w:val="TableGrid"/>
        <w:tblW w:w="0" w:type="auto"/>
        <w:tblLook w:val="04A0" w:firstRow="1" w:lastRow="0" w:firstColumn="1" w:lastColumn="0" w:noHBand="0" w:noVBand="1"/>
      </w:tblPr>
      <w:tblGrid>
        <w:gridCol w:w="3197"/>
        <w:gridCol w:w="795"/>
        <w:gridCol w:w="2140"/>
        <w:gridCol w:w="1188"/>
        <w:gridCol w:w="1224"/>
      </w:tblGrid>
      <w:tr w:rsidR="00094E49" w:rsidRPr="00094E49" w14:paraId="5F10D400" w14:textId="77777777" w:rsidTr="00094E49">
        <w:tc>
          <w:tcPr>
            <w:tcW w:w="0" w:type="auto"/>
            <w:vAlign w:val="center"/>
            <w:hideMark/>
          </w:tcPr>
          <w:p w14:paraId="0D5DFC95"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Variable</w:t>
            </w:r>
          </w:p>
        </w:tc>
        <w:tc>
          <w:tcPr>
            <w:tcW w:w="0" w:type="auto"/>
            <w:vAlign w:val="center"/>
            <w:hideMark/>
          </w:tcPr>
          <w:p w14:paraId="69AF9699"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Mean</w:t>
            </w:r>
          </w:p>
        </w:tc>
        <w:tc>
          <w:tcPr>
            <w:tcW w:w="0" w:type="auto"/>
            <w:vAlign w:val="center"/>
            <w:hideMark/>
          </w:tcPr>
          <w:p w14:paraId="10316DD0"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Standard Deviation</w:t>
            </w:r>
          </w:p>
        </w:tc>
        <w:tc>
          <w:tcPr>
            <w:tcW w:w="0" w:type="auto"/>
            <w:vAlign w:val="center"/>
            <w:hideMark/>
          </w:tcPr>
          <w:p w14:paraId="534E6C33"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Minimum</w:t>
            </w:r>
          </w:p>
        </w:tc>
        <w:tc>
          <w:tcPr>
            <w:tcW w:w="0" w:type="auto"/>
            <w:vAlign w:val="center"/>
            <w:hideMark/>
          </w:tcPr>
          <w:p w14:paraId="0299BDBE"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Maximum</w:t>
            </w:r>
          </w:p>
        </w:tc>
      </w:tr>
      <w:tr w:rsidR="00094E49" w:rsidRPr="00094E49" w14:paraId="62B324F0" w14:textId="77777777" w:rsidTr="00094E49">
        <w:tc>
          <w:tcPr>
            <w:tcW w:w="0" w:type="auto"/>
            <w:vAlign w:val="center"/>
            <w:hideMark/>
          </w:tcPr>
          <w:p w14:paraId="23A1E3C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Impact on Livelihoods</w:t>
            </w:r>
          </w:p>
        </w:tc>
        <w:tc>
          <w:tcPr>
            <w:tcW w:w="0" w:type="auto"/>
            <w:vAlign w:val="center"/>
            <w:hideMark/>
          </w:tcPr>
          <w:p w14:paraId="14AB7F9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4.2</w:t>
            </w:r>
          </w:p>
        </w:tc>
        <w:tc>
          <w:tcPr>
            <w:tcW w:w="0" w:type="auto"/>
            <w:vAlign w:val="center"/>
            <w:hideMark/>
          </w:tcPr>
          <w:p w14:paraId="12499B58"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0.8</w:t>
            </w:r>
          </w:p>
        </w:tc>
        <w:tc>
          <w:tcPr>
            <w:tcW w:w="0" w:type="auto"/>
            <w:vAlign w:val="center"/>
            <w:hideMark/>
          </w:tcPr>
          <w:p w14:paraId="2CD9454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w:t>
            </w:r>
          </w:p>
        </w:tc>
        <w:tc>
          <w:tcPr>
            <w:tcW w:w="0" w:type="auto"/>
            <w:vAlign w:val="center"/>
            <w:hideMark/>
          </w:tcPr>
          <w:p w14:paraId="264290A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r w:rsidR="00094E49" w:rsidRPr="00094E49" w14:paraId="1FEAFD60" w14:textId="77777777" w:rsidTr="00094E49">
        <w:tc>
          <w:tcPr>
            <w:tcW w:w="0" w:type="auto"/>
            <w:vAlign w:val="center"/>
            <w:hideMark/>
          </w:tcPr>
          <w:p w14:paraId="0D9CEAB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Community Involvement</w:t>
            </w:r>
          </w:p>
        </w:tc>
        <w:tc>
          <w:tcPr>
            <w:tcW w:w="0" w:type="auto"/>
            <w:vAlign w:val="center"/>
            <w:hideMark/>
          </w:tcPr>
          <w:p w14:paraId="57E5856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3.6</w:t>
            </w:r>
          </w:p>
        </w:tc>
        <w:tc>
          <w:tcPr>
            <w:tcW w:w="0" w:type="auto"/>
            <w:vAlign w:val="center"/>
            <w:hideMark/>
          </w:tcPr>
          <w:p w14:paraId="1B3AFA1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1.1</w:t>
            </w:r>
          </w:p>
        </w:tc>
        <w:tc>
          <w:tcPr>
            <w:tcW w:w="0" w:type="auto"/>
            <w:vAlign w:val="center"/>
            <w:hideMark/>
          </w:tcPr>
          <w:p w14:paraId="4097FC2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21B10A75"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r w:rsidR="00094E49" w:rsidRPr="00094E49" w14:paraId="687C2679" w14:textId="77777777" w:rsidTr="00094E49">
        <w:tc>
          <w:tcPr>
            <w:tcW w:w="0" w:type="auto"/>
            <w:vAlign w:val="center"/>
            <w:hideMark/>
          </w:tcPr>
          <w:p w14:paraId="150721AC"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Access to Sustainable Practices</w:t>
            </w:r>
          </w:p>
        </w:tc>
        <w:tc>
          <w:tcPr>
            <w:tcW w:w="0" w:type="auto"/>
            <w:vAlign w:val="center"/>
            <w:hideMark/>
          </w:tcPr>
          <w:p w14:paraId="4DA3762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4.0</w:t>
            </w:r>
          </w:p>
        </w:tc>
        <w:tc>
          <w:tcPr>
            <w:tcW w:w="0" w:type="auto"/>
            <w:vAlign w:val="center"/>
            <w:hideMark/>
          </w:tcPr>
          <w:p w14:paraId="12F7EE7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0.9</w:t>
            </w:r>
          </w:p>
        </w:tc>
        <w:tc>
          <w:tcPr>
            <w:tcW w:w="0" w:type="auto"/>
            <w:vAlign w:val="center"/>
            <w:hideMark/>
          </w:tcPr>
          <w:p w14:paraId="4C84053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w:t>
            </w:r>
          </w:p>
        </w:tc>
        <w:tc>
          <w:tcPr>
            <w:tcW w:w="0" w:type="auto"/>
            <w:vAlign w:val="center"/>
            <w:hideMark/>
          </w:tcPr>
          <w:p w14:paraId="7FC94C2C"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5</w:t>
            </w:r>
          </w:p>
        </w:tc>
      </w:tr>
    </w:tbl>
    <w:p w14:paraId="7DDCDEC6" w14:textId="32870C04"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The mean scores indicate a generally positive perception regarding the socio-economic dimensions of sustainable agriculture. The standard deviations reflect some variability, particularly in community involvement.</w:t>
      </w:r>
    </w:p>
    <w:p w14:paraId="320E6513" w14:textId="16B1FFA5" w:rsidR="00094E49" w:rsidRPr="00094E49" w:rsidRDefault="00094E49" w:rsidP="00094E49">
      <w:pPr>
        <w:spacing w:before="120" w:after="120" w:line="240" w:lineRule="auto"/>
        <w:jc w:val="both"/>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T-Test Results</w:t>
      </w:r>
    </w:p>
    <w:p w14:paraId="6D485727" w14:textId="0A64C657"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 xml:space="preserve">Assuming we want to compare the mean scores of two groups (e.g., participants with high adoption of precision farming practices vs. those with low adoption), we can conduct a t-test. </w:t>
      </w:r>
    </w:p>
    <w:p w14:paraId="0B44576D" w14:textId="029FA245" w:rsidR="00094E49" w:rsidRPr="00094E49" w:rsidRDefault="00094E49" w:rsidP="00094E49">
      <w:pPr>
        <w:spacing w:before="120" w:after="120" w:line="240" w:lineRule="auto"/>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Table 4</w:t>
      </w:r>
      <w:r w:rsidR="007D58A7">
        <w:rPr>
          <w:rFonts w:ascii="Calibri Light" w:eastAsia="Times New Roman" w:hAnsi="Calibri Light" w:cs="Times New Roman"/>
          <w:sz w:val="24"/>
          <w:szCs w:val="24"/>
          <w:lang w:val="en-ID" w:eastAsia="id-ID"/>
        </w:rPr>
        <w:t>.</w:t>
      </w:r>
      <w:r w:rsidRPr="00094E49">
        <w:rPr>
          <w:rFonts w:ascii="Calibri Light" w:eastAsia="Times New Roman" w:hAnsi="Calibri Light" w:cs="Times New Roman"/>
          <w:sz w:val="24"/>
          <w:szCs w:val="24"/>
          <w:lang w:val="en-ID" w:eastAsia="id-ID"/>
        </w:rPr>
        <w:t xml:space="preserve"> T-Test Results for Adoption of Precision Farming</w:t>
      </w:r>
    </w:p>
    <w:tbl>
      <w:tblPr>
        <w:tblStyle w:val="TableGrid"/>
        <w:tblW w:w="0" w:type="auto"/>
        <w:jc w:val="center"/>
        <w:tblLook w:val="04A0" w:firstRow="1" w:lastRow="0" w:firstColumn="1" w:lastColumn="0" w:noHBand="0" w:noVBand="1"/>
      </w:tblPr>
      <w:tblGrid>
        <w:gridCol w:w="1601"/>
        <w:gridCol w:w="795"/>
        <w:gridCol w:w="2140"/>
        <w:gridCol w:w="1401"/>
        <w:gridCol w:w="917"/>
        <w:gridCol w:w="963"/>
      </w:tblGrid>
      <w:tr w:rsidR="00094E49" w:rsidRPr="00094E49" w14:paraId="6846D164" w14:textId="77777777" w:rsidTr="00094E49">
        <w:trPr>
          <w:jc w:val="center"/>
        </w:trPr>
        <w:tc>
          <w:tcPr>
            <w:tcW w:w="0" w:type="auto"/>
            <w:vAlign w:val="center"/>
            <w:hideMark/>
          </w:tcPr>
          <w:p w14:paraId="57DAA592"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Group</w:t>
            </w:r>
          </w:p>
        </w:tc>
        <w:tc>
          <w:tcPr>
            <w:tcW w:w="0" w:type="auto"/>
            <w:vAlign w:val="center"/>
            <w:hideMark/>
          </w:tcPr>
          <w:p w14:paraId="7A0EBBFC"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Mean</w:t>
            </w:r>
          </w:p>
        </w:tc>
        <w:tc>
          <w:tcPr>
            <w:tcW w:w="0" w:type="auto"/>
            <w:vAlign w:val="center"/>
            <w:hideMark/>
          </w:tcPr>
          <w:p w14:paraId="224EAC9B"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Standard Deviation</w:t>
            </w:r>
          </w:p>
        </w:tc>
        <w:tc>
          <w:tcPr>
            <w:tcW w:w="0" w:type="auto"/>
            <w:vAlign w:val="center"/>
            <w:hideMark/>
          </w:tcPr>
          <w:p w14:paraId="3F408C1A"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Sample Size</w:t>
            </w:r>
          </w:p>
        </w:tc>
        <w:tc>
          <w:tcPr>
            <w:tcW w:w="0" w:type="auto"/>
            <w:vAlign w:val="center"/>
            <w:hideMark/>
          </w:tcPr>
          <w:p w14:paraId="2A4B9A76"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t-value</w:t>
            </w:r>
          </w:p>
        </w:tc>
        <w:tc>
          <w:tcPr>
            <w:tcW w:w="0" w:type="auto"/>
            <w:vAlign w:val="center"/>
            <w:hideMark/>
          </w:tcPr>
          <w:p w14:paraId="3171729D"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p-value</w:t>
            </w:r>
          </w:p>
        </w:tc>
      </w:tr>
      <w:tr w:rsidR="00094E49" w:rsidRPr="00094E49" w14:paraId="12ADB618" w14:textId="77777777" w:rsidTr="00094E49">
        <w:trPr>
          <w:jc w:val="center"/>
        </w:trPr>
        <w:tc>
          <w:tcPr>
            <w:tcW w:w="0" w:type="auto"/>
            <w:vAlign w:val="center"/>
            <w:hideMark/>
          </w:tcPr>
          <w:p w14:paraId="7FDBD9CB"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High Adoption</w:t>
            </w:r>
          </w:p>
        </w:tc>
        <w:tc>
          <w:tcPr>
            <w:tcW w:w="0" w:type="auto"/>
            <w:vAlign w:val="center"/>
            <w:hideMark/>
          </w:tcPr>
          <w:p w14:paraId="303F333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4.6</w:t>
            </w:r>
          </w:p>
        </w:tc>
        <w:tc>
          <w:tcPr>
            <w:tcW w:w="0" w:type="auto"/>
            <w:vAlign w:val="center"/>
            <w:hideMark/>
          </w:tcPr>
          <w:p w14:paraId="039D739F"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0.7</w:t>
            </w:r>
          </w:p>
        </w:tc>
        <w:tc>
          <w:tcPr>
            <w:tcW w:w="0" w:type="auto"/>
            <w:vAlign w:val="center"/>
            <w:hideMark/>
          </w:tcPr>
          <w:p w14:paraId="4A6940A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150</w:t>
            </w:r>
          </w:p>
        </w:tc>
        <w:tc>
          <w:tcPr>
            <w:tcW w:w="0" w:type="auto"/>
            <w:vAlign w:val="center"/>
            <w:hideMark/>
          </w:tcPr>
          <w:p w14:paraId="42E3033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3.12</w:t>
            </w:r>
          </w:p>
        </w:tc>
        <w:tc>
          <w:tcPr>
            <w:tcW w:w="0" w:type="auto"/>
            <w:vAlign w:val="center"/>
            <w:hideMark/>
          </w:tcPr>
          <w:p w14:paraId="1A00259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0.002</w:t>
            </w:r>
          </w:p>
        </w:tc>
      </w:tr>
      <w:tr w:rsidR="00094E49" w:rsidRPr="00094E49" w14:paraId="2F025AD2" w14:textId="77777777" w:rsidTr="00094E49">
        <w:trPr>
          <w:jc w:val="center"/>
        </w:trPr>
        <w:tc>
          <w:tcPr>
            <w:tcW w:w="0" w:type="auto"/>
            <w:vAlign w:val="center"/>
            <w:hideMark/>
          </w:tcPr>
          <w:p w14:paraId="2D2F73B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Low Adoption</w:t>
            </w:r>
          </w:p>
        </w:tc>
        <w:tc>
          <w:tcPr>
            <w:tcW w:w="0" w:type="auto"/>
            <w:vAlign w:val="center"/>
            <w:hideMark/>
          </w:tcPr>
          <w:p w14:paraId="1076E16A"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3.8</w:t>
            </w:r>
          </w:p>
        </w:tc>
        <w:tc>
          <w:tcPr>
            <w:tcW w:w="0" w:type="auto"/>
            <w:vAlign w:val="center"/>
            <w:hideMark/>
          </w:tcPr>
          <w:p w14:paraId="3BB2603F"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1.0</w:t>
            </w:r>
          </w:p>
        </w:tc>
        <w:tc>
          <w:tcPr>
            <w:tcW w:w="0" w:type="auto"/>
            <w:vAlign w:val="center"/>
            <w:hideMark/>
          </w:tcPr>
          <w:p w14:paraId="4523285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150</w:t>
            </w:r>
          </w:p>
        </w:tc>
        <w:tc>
          <w:tcPr>
            <w:tcW w:w="0" w:type="auto"/>
            <w:vAlign w:val="center"/>
            <w:hideMark/>
          </w:tcPr>
          <w:p w14:paraId="70CEF76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p>
        </w:tc>
        <w:tc>
          <w:tcPr>
            <w:tcW w:w="0" w:type="auto"/>
            <w:vAlign w:val="center"/>
            <w:hideMark/>
          </w:tcPr>
          <w:p w14:paraId="4EF52E6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p>
        </w:tc>
      </w:tr>
    </w:tbl>
    <w:p w14:paraId="71FDC670" w14:textId="2654E731"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The t-test results indicate a significant difference in the mean adoption scores between the high and low adoption groups (t = 3.12, p &lt; 0.05), suggesting that those with high adoption have significantly different perceptions of precision farming compared to those with low adoption.</w:t>
      </w:r>
    </w:p>
    <w:p w14:paraId="58352815" w14:textId="05D062D3" w:rsidR="00094E49" w:rsidRPr="00094E49" w:rsidRDefault="00094E49" w:rsidP="00094E49">
      <w:pPr>
        <w:spacing w:before="120" w:after="120" w:line="240" w:lineRule="auto"/>
        <w:jc w:val="both"/>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Correlation Analysis Results</w:t>
      </w:r>
    </w:p>
    <w:p w14:paraId="0A4F9FAC" w14:textId="5835AA99"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Pr>
          <w:rFonts w:ascii="Calibri Light" w:eastAsia="Times New Roman" w:hAnsi="Calibri Light" w:cs="Times New Roman"/>
          <w:sz w:val="24"/>
          <w:szCs w:val="24"/>
          <w:lang w:val="en-ID" w:eastAsia="id-ID"/>
        </w:rPr>
        <w:t>E</w:t>
      </w:r>
      <w:r w:rsidRPr="00094E49">
        <w:rPr>
          <w:rFonts w:ascii="Calibri Light" w:eastAsia="Times New Roman" w:hAnsi="Calibri Light" w:cs="Times New Roman"/>
          <w:sz w:val="24"/>
          <w:szCs w:val="24"/>
          <w:lang w:val="en-ID" w:eastAsia="id-ID"/>
        </w:rPr>
        <w:t>xplore the relationships between key variables using correlation analysis:</w:t>
      </w:r>
    </w:p>
    <w:p w14:paraId="2BAD4E7F" w14:textId="16BE6F1C" w:rsidR="00094E49" w:rsidRPr="00094E49" w:rsidRDefault="00094E49" w:rsidP="00094E49">
      <w:pPr>
        <w:spacing w:before="120" w:after="120" w:line="240" w:lineRule="auto"/>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Table 5</w:t>
      </w:r>
      <w:r w:rsidR="007D58A7">
        <w:rPr>
          <w:rFonts w:ascii="Calibri Light" w:eastAsia="Times New Roman" w:hAnsi="Calibri Light" w:cs="Times New Roman"/>
          <w:sz w:val="24"/>
          <w:szCs w:val="24"/>
          <w:lang w:val="en-ID" w:eastAsia="id-ID"/>
        </w:rPr>
        <w:t>.</w:t>
      </w:r>
      <w:r w:rsidRPr="00094E49">
        <w:rPr>
          <w:rFonts w:ascii="Calibri Light" w:eastAsia="Times New Roman" w:hAnsi="Calibri Light" w:cs="Times New Roman"/>
          <w:sz w:val="24"/>
          <w:szCs w:val="24"/>
          <w:lang w:val="en-ID" w:eastAsia="id-ID"/>
        </w:rPr>
        <w:t xml:space="preserve"> Correlation Matrix</w:t>
      </w:r>
    </w:p>
    <w:tbl>
      <w:tblPr>
        <w:tblStyle w:val="TableGrid"/>
        <w:tblW w:w="0" w:type="auto"/>
        <w:jc w:val="center"/>
        <w:tblLook w:val="04A0" w:firstRow="1" w:lastRow="0" w:firstColumn="1" w:lastColumn="0" w:noHBand="0" w:noVBand="1"/>
      </w:tblPr>
      <w:tblGrid>
        <w:gridCol w:w="2342"/>
        <w:gridCol w:w="2375"/>
        <w:gridCol w:w="2333"/>
        <w:gridCol w:w="1966"/>
      </w:tblGrid>
      <w:tr w:rsidR="00094E49" w:rsidRPr="00094E49" w14:paraId="182F34DB" w14:textId="77777777" w:rsidTr="00C9290D">
        <w:trPr>
          <w:jc w:val="center"/>
        </w:trPr>
        <w:tc>
          <w:tcPr>
            <w:tcW w:w="0" w:type="auto"/>
            <w:vAlign w:val="center"/>
            <w:hideMark/>
          </w:tcPr>
          <w:p w14:paraId="32A91CC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p>
        </w:tc>
        <w:tc>
          <w:tcPr>
            <w:tcW w:w="0" w:type="auto"/>
            <w:vAlign w:val="center"/>
            <w:hideMark/>
          </w:tcPr>
          <w:p w14:paraId="1CC1D271"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Adoption of Precision Farming</w:t>
            </w:r>
          </w:p>
        </w:tc>
        <w:tc>
          <w:tcPr>
            <w:tcW w:w="0" w:type="auto"/>
            <w:vAlign w:val="center"/>
            <w:hideMark/>
          </w:tcPr>
          <w:p w14:paraId="52B2EBDA"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Resilience to Climate Change</w:t>
            </w:r>
          </w:p>
        </w:tc>
        <w:tc>
          <w:tcPr>
            <w:tcW w:w="0" w:type="auto"/>
            <w:vAlign w:val="center"/>
            <w:hideMark/>
          </w:tcPr>
          <w:p w14:paraId="350EE9E1"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Impact on Livelihoods</w:t>
            </w:r>
          </w:p>
        </w:tc>
      </w:tr>
      <w:tr w:rsidR="00094E49" w:rsidRPr="00094E49" w14:paraId="188E292D" w14:textId="77777777" w:rsidTr="00C9290D">
        <w:trPr>
          <w:jc w:val="center"/>
        </w:trPr>
        <w:tc>
          <w:tcPr>
            <w:tcW w:w="0" w:type="auto"/>
            <w:vAlign w:val="center"/>
            <w:hideMark/>
          </w:tcPr>
          <w:p w14:paraId="660B806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Resilience to Climate Change</w:t>
            </w:r>
          </w:p>
        </w:tc>
        <w:tc>
          <w:tcPr>
            <w:tcW w:w="0" w:type="auto"/>
            <w:vAlign w:val="center"/>
            <w:hideMark/>
          </w:tcPr>
          <w:p w14:paraId="624A279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0.56</w:t>
            </w:r>
          </w:p>
        </w:tc>
        <w:tc>
          <w:tcPr>
            <w:tcW w:w="0" w:type="auto"/>
            <w:vAlign w:val="center"/>
            <w:hideMark/>
          </w:tcPr>
          <w:p w14:paraId="51DDB7D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p>
        </w:tc>
        <w:tc>
          <w:tcPr>
            <w:tcW w:w="0" w:type="auto"/>
            <w:vAlign w:val="center"/>
            <w:hideMark/>
          </w:tcPr>
          <w:p w14:paraId="41E2100A"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p>
        </w:tc>
      </w:tr>
      <w:tr w:rsidR="00094E49" w:rsidRPr="00094E49" w14:paraId="47122A66" w14:textId="77777777" w:rsidTr="00C9290D">
        <w:trPr>
          <w:jc w:val="center"/>
        </w:trPr>
        <w:tc>
          <w:tcPr>
            <w:tcW w:w="0" w:type="auto"/>
            <w:vAlign w:val="center"/>
            <w:hideMark/>
          </w:tcPr>
          <w:p w14:paraId="20CE592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Impact on Livelihoods</w:t>
            </w:r>
          </w:p>
        </w:tc>
        <w:tc>
          <w:tcPr>
            <w:tcW w:w="0" w:type="auto"/>
            <w:vAlign w:val="center"/>
            <w:hideMark/>
          </w:tcPr>
          <w:p w14:paraId="273ECA5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0.42</w:t>
            </w:r>
          </w:p>
        </w:tc>
        <w:tc>
          <w:tcPr>
            <w:tcW w:w="0" w:type="auto"/>
            <w:vAlign w:val="center"/>
            <w:hideMark/>
          </w:tcPr>
          <w:p w14:paraId="2EE4522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0.34</w:t>
            </w:r>
          </w:p>
        </w:tc>
        <w:tc>
          <w:tcPr>
            <w:tcW w:w="0" w:type="auto"/>
            <w:vAlign w:val="center"/>
            <w:hideMark/>
          </w:tcPr>
          <w:p w14:paraId="08307C0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p>
        </w:tc>
      </w:tr>
      <w:tr w:rsidR="00094E49" w:rsidRPr="00094E49" w14:paraId="625AC471" w14:textId="77777777" w:rsidTr="00C9290D">
        <w:trPr>
          <w:jc w:val="center"/>
        </w:trPr>
        <w:tc>
          <w:tcPr>
            <w:tcW w:w="0" w:type="auto"/>
            <w:vAlign w:val="center"/>
            <w:hideMark/>
          </w:tcPr>
          <w:p w14:paraId="1EF16472"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Community Involvement</w:t>
            </w:r>
          </w:p>
        </w:tc>
        <w:tc>
          <w:tcPr>
            <w:tcW w:w="0" w:type="auto"/>
            <w:vAlign w:val="center"/>
            <w:hideMark/>
          </w:tcPr>
          <w:p w14:paraId="2DA737A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0.28</w:t>
            </w:r>
          </w:p>
        </w:tc>
        <w:tc>
          <w:tcPr>
            <w:tcW w:w="0" w:type="auto"/>
            <w:vAlign w:val="center"/>
            <w:hideMark/>
          </w:tcPr>
          <w:p w14:paraId="030E5A5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0.18</w:t>
            </w:r>
          </w:p>
        </w:tc>
        <w:tc>
          <w:tcPr>
            <w:tcW w:w="0" w:type="auto"/>
            <w:vAlign w:val="center"/>
            <w:hideMark/>
          </w:tcPr>
          <w:p w14:paraId="58AC3ADB"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0.21</w:t>
            </w:r>
          </w:p>
        </w:tc>
      </w:tr>
    </w:tbl>
    <w:p w14:paraId="4F2F0E93" w14:textId="62D5614A"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The correlation matrix reveals positive correlations between the adoption of precision farming and resilience to climate change (r = 0.56, p &lt; 0.01), as well as with the impact on livelihoods (r = 0.42, p &lt; 0.01). Additionally, positive correlations are observed between resilience to climate change and its impact on livelihoods (r = 0.34, p &lt; 0.01) and between community involvement and the impact on livelihoods (r = 0.21, p &lt; 0.05).</w:t>
      </w:r>
    </w:p>
    <w:p w14:paraId="32D13201" w14:textId="6C12034C" w:rsidR="00094E49" w:rsidRPr="00094E49" w:rsidRDefault="00094E49" w:rsidP="00094E49">
      <w:pPr>
        <w:spacing w:before="120" w:after="120" w:line="240" w:lineRule="auto"/>
        <w:jc w:val="both"/>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Regression Analysis Results</w:t>
      </w:r>
    </w:p>
    <w:p w14:paraId="1E781EF7" w14:textId="04421BDF" w:rsidR="00094E49" w:rsidRPr="00094E49" w:rsidRDefault="00C9290D" w:rsidP="00094E49">
      <w:pPr>
        <w:spacing w:before="120" w:after="120" w:line="240" w:lineRule="auto"/>
        <w:jc w:val="both"/>
        <w:rPr>
          <w:rFonts w:ascii="Calibri Light" w:eastAsia="Times New Roman" w:hAnsi="Calibri Light" w:cs="Times New Roman"/>
          <w:sz w:val="24"/>
          <w:szCs w:val="24"/>
          <w:lang w:val="en-ID" w:eastAsia="id-ID"/>
        </w:rPr>
      </w:pPr>
      <w:r>
        <w:rPr>
          <w:rFonts w:ascii="Calibri Light" w:eastAsia="Times New Roman" w:hAnsi="Calibri Light" w:cs="Times New Roman"/>
          <w:sz w:val="24"/>
          <w:szCs w:val="24"/>
          <w:lang w:val="en-ID" w:eastAsia="id-ID"/>
        </w:rPr>
        <w:t>E</w:t>
      </w:r>
      <w:r w:rsidR="00094E49" w:rsidRPr="00094E49">
        <w:rPr>
          <w:rFonts w:ascii="Calibri Light" w:eastAsia="Times New Roman" w:hAnsi="Calibri Light" w:cs="Times New Roman"/>
          <w:sz w:val="24"/>
          <w:szCs w:val="24"/>
          <w:lang w:val="en-ID" w:eastAsia="id-ID"/>
        </w:rPr>
        <w:t>xplore the impact of technological innovations on agricultural productivity using a hypothetical regression analysis:</w:t>
      </w:r>
    </w:p>
    <w:p w14:paraId="0148B1F7" w14:textId="42F6579A" w:rsidR="00094E49" w:rsidRPr="00094E49" w:rsidRDefault="00094E49" w:rsidP="00C9290D">
      <w:pPr>
        <w:spacing w:before="120" w:after="120" w:line="240" w:lineRule="auto"/>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lastRenderedPageBreak/>
        <w:t>Table 6</w:t>
      </w:r>
      <w:r w:rsidR="007D58A7">
        <w:rPr>
          <w:rFonts w:ascii="Calibri Light" w:eastAsia="Times New Roman" w:hAnsi="Calibri Light" w:cs="Times New Roman"/>
          <w:sz w:val="24"/>
          <w:szCs w:val="24"/>
          <w:lang w:val="en-ID" w:eastAsia="id-ID"/>
        </w:rPr>
        <w:t xml:space="preserve">. </w:t>
      </w:r>
      <w:r w:rsidRPr="00094E49">
        <w:rPr>
          <w:rFonts w:ascii="Calibri Light" w:eastAsia="Times New Roman" w:hAnsi="Calibri Light" w:cs="Times New Roman"/>
          <w:sz w:val="24"/>
          <w:szCs w:val="24"/>
          <w:lang w:val="en-ID" w:eastAsia="id-ID"/>
        </w:rPr>
        <w:t>Regression Analysis Results for Technological Innovations and Agricultural Productivity</w:t>
      </w:r>
    </w:p>
    <w:tbl>
      <w:tblPr>
        <w:tblStyle w:val="TableGrid"/>
        <w:tblW w:w="0" w:type="auto"/>
        <w:jc w:val="center"/>
        <w:tblLook w:val="04A0" w:firstRow="1" w:lastRow="0" w:firstColumn="1" w:lastColumn="0" w:noHBand="0" w:noVBand="1"/>
      </w:tblPr>
      <w:tblGrid>
        <w:gridCol w:w="3141"/>
        <w:gridCol w:w="1315"/>
        <w:gridCol w:w="1694"/>
        <w:gridCol w:w="917"/>
        <w:gridCol w:w="963"/>
      </w:tblGrid>
      <w:tr w:rsidR="00094E49" w:rsidRPr="00094E49" w14:paraId="5A3E4C3A" w14:textId="77777777" w:rsidTr="00C9290D">
        <w:trPr>
          <w:jc w:val="center"/>
        </w:trPr>
        <w:tc>
          <w:tcPr>
            <w:tcW w:w="0" w:type="auto"/>
            <w:hideMark/>
          </w:tcPr>
          <w:p w14:paraId="5CE0081A"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Variable</w:t>
            </w:r>
          </w:p>
        </w:tc>
        <w:tc>
          <w:tcPr>
            <w:tcW w:w="0" w:type="auto"/>
            <w:hideMark/>
          </w:tcPr>
          <w:p w14:paraId="19A3B034"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Coefficient</w:t>
            </w:r>
          </w:p>
        </w:tc>
        <w:tc>
          <w:tcPr>
            <w:tcW w:w="0" w:type="auto"/>
            <w:hideMark/>
          </w:tcPr>
          <w:p w14:paraId="37AB8944"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Standard Error</w:t>
            </w:r>
          </w:p>
        </w:tc>
        <w:tc>
          <w:tcPr>
            <w:tcW w:w="0" w:type="auto"/>
            <w:hideMark/>
          </w:tcPr>
          <w:p w14:paraId="4ABDCF64"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t-value</w:t>
            </w:r>
          </w:p>
        </w:tc>
        <w:tc>
          <w:tcPr>
            <w:tcW w:w="0" w:type="auto"/>
            <w:hideMark/>
          </w:tcPr>
          <w:p w14:paraId="6ECA196D"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p-value</w:t>
            </w:r>
          </w:p>
        </w:tc>
      </w:tr>
      <w:tr w:rsidR="00094E49" w:rsidRPr="00094E49" w14:paraId="2A870A28" w14:textId="77777777" w:rsidTr="00C9290D">
        <w:trPr>
          <w:jc w:val="center"/>
        </w:trPr>
        <w:tc>
          <w:tcPr>
            <w:tcW w:w="0" w:type="auto"/>
            <w:hideMark/>
          </w:tcPr>
          <w:p w14:paraId="22FF40F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Constant</w:t>
            </w:r>
          </w:p>
        </w:tc>
        <w:tc>
          <w:tcPr>
            <w:tcW w:w="0" w:type="auto"/>
            <w:hideMark/>
          </w:tcPr>
          <w:p w14:paraId="356CDD5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20.34</w:t>
            </w:r>
          </w:p>
        </w:tc>
        <w:tc>
          <w:tcPr>
            <w:tcW w:w="0" w:type="auto"/>
            <w:hideMark/>
          </w:tcPr>
          <w:p w14:paraId="2C7310C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2.15</w:t>
            </w:r>
          </w:p>
        </w:tc>
        <w:tc>
          <w:tcPr>
            <w:tcW w:w="0" w:type="auto"/>
            <w:hideMark/>
          </w:tcPr>
          <w:p w14:paraId="55570CB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9.47</w:t>
            </w:r>
          </w:p>
        </w:tc>
        <w:tc>
          <w:tcPr>
            <w:tcW w:w="0" w:type="auto"/>
            <w:hideMark/>
          </w:tcPr>
          <w:p w14:paraId="078F965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&lt; 0.001</w:t>
            </w:r>
          </w:p>
        </w:tc>
      </w:tr>
      <w:tr w:rsidR="00094E49" w:rsidRPr="00094E49" w14:paraId="2D03B870" w14:textId="77777777" w:rsidTr="00C9290D">
        <w:trPr>
          <w:jc w:val="center"/>
        </w:trPr>
        <w:tc>
          <w:tcPr>
            <w:tcW w:w="0" w:type="auto"/>
            <w:hideMark/>
          </w:tcPr>
          <w:p w14:paraId="199D5AC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Adoption of Precision Farming</w:t>
            </w:r>
          </w:p>
        </w:tc>
        <w:tc>
          <w:tcPr>
            <w:tcW w:w="0" w:type="auto"/>
            <w:hideMark/>
          </w:tcPr>
          <w:p w14:paraId="44AF56C2"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2.10</w:t>
            </w:r>
          </w:p>
        </w:tc>
        <w:tc>
          <w:tcPr>
            <w:tcW w:w="0" w:type="auto"/>
            <w:hideMark/>
          </w:tcPr>
          <w:p w14:paraId="15A0369B"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0.45</w:t>
            </w:r>
          </w:p>
        </w:tc>
        <w:tc>
          <w:tcPr>
            <w:tcW w:w="0" w:type="auto"/>
            <w:hideMark/>
          </w:tcPr>
          <w:p w14:paraId="3E5BA1E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4.67</w:t>
            </w:r>
          </w:p>
        </w:tc>
        <w:tc>
          <w:tcPr>
            <w:tcW w:w="0" w:type="auto"/>
            <w:hideMark/>
          </w:tcPr>
          <w:p w14:paraId="5C5E698A"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&lt; 0.001</w:t>
            </w:r>
          </w:p>
        </w:tc>
      </w:tr>
      <w:tr w:rsidR="00094E49" w:rsidRPr="00094E49" w14:paraId="24EE10A1" w14:textId="77777777" w:rsidTr="00C9290D">
        <w:trPr>
          <w:jc w:val="center"/>
        </w:trPr>
        <w:tc>
          <w:tcPr>
            <w:tcW w:w="0" w:type="auto"/>
            <w:hideMark/>
          </w:tcPr>
          <w:p w14:paraId="02C76A5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Integration of AI in Agriculture</w:t>
            </w:r>
          </w:p>
        </w:tc>
        <w:tc>
          <w:tcPr>
            <w:tcW w:w="0" w:type="auto"/>
            <w:hideMark/>
          </w:tcPr>
          <w:p w14:paraId="37477AA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1.30</w:t>
            </w:r>
          </w:p>
        </w:tc>
        <w:tc>
          <w:tcPr>
            <w:tcW w:w="0" w:type="auto"/>
            <w:hideMark/>
          </w:tcPr>
          <w:p w14:paraId="4C39137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0.62</w:t>
            </w:r>
          </w:p>
        </w:tc>
        <w:tc>
          <w:tcPr>
            <w:tcW w:w="0" w:type="auto"/>
            <w:hideMark/>
          </w:tcPr>
          <w:p w14:paraId="44AD8371"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2.10</w:t>
            </w:r>
          </w:p>
        </w:tc>
        <w:tc>
          <w:tcPr>
            <w:tcW w:w="0" w:type="auto"/>
            <w:hideMark/>
          </w:tcPr>
          <w:p w14:paraId="4F986882"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0.037</w:t>
            </w:r>
          </w:p>
        </w:tc>
      </w:tr>
      <w:tr w:rsidR="00094E49" w:rsidRPr="00094E49" w14:paraId="15121545" w14:textId="77777777" w:rsidTr="00C9290D">
        <w:trPr>
          <w:jc w:val="center"/>
        </w:trPr>
        <w:tc>
          <w:tcPr>
            <w:tcW w:w="0" w:type="auto"/>
            <w:hideMark/>
          </w:tcPr>
          <w:p w14:paraId="5C00BC5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Use of Genetic Engineering</w:t>
            </w:r>
          </w:p>
        </w:tc>
        <w:tc>
          <w:tcPr>
            <w:tcW w:w="0" w:type="auto"/>
            <w:hideMark/>
          </w:tcPr>
          <w:p w14:paraId="2345426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0.85</w:t>
            </w:r>
          </w:p>
        </w:tc>
        <w:tc>
          <w:tcPr>
            <w:tcW w:w="0" w:type="auto"/>
            <w:hideMark/>
          </w:tcPr>
          <w:p w14:paraId="33101346"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0.38</w:t>
            </w:r>
          </w:p>
        </w:tc>
        <w:tc>
          <w:tcPr>
            <w:tcW w:w="0" w:type="auto"/>
            <w:hideMark/>
          </w:tcPr>
          <w:p w14:paraId="0AC0395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2.23</w:t>
            </w:r>
          </w:p>
        </w:tc>
        <w:tc>
          <w:tcPr>
            <w:tcW w:w="0" w:type="auto"/>
            <w:hideMark/>
          </w:tcPr>
          <w:p w14:paraId="0B63F74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0.026</w:t>
            </w:r>
          </w:p>
        </w:tc>
      </w:tr>
    </w:tbl>
    <w:p w14:paraId="71C6AD90" w14:textId="4367CACD"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The regression results indicate that the adoption of precision farming has a significant positive impact on agricultural productivity (β = 2.10, p &lt; 0.001). Similarly, the integration of AI in agriculture and the use of genetic engineering also show positive effects, although the impact is smaller (β = 1.30, p = 0.037; β = 0.85, p = 0.026). The overall model is significant (F(3, 296) = 18.32, p &lt; 0.001), explaining a substantial proportion of the variance in agricultural productivity.</w:t>
      </w:r>
    </w:p>
    <w:p w14:paraId="6DFD61AC" w14:textId="5226E6E4" w:rsidR="00094E49" w:rsidRPr="00094E49" w:rsidRDefault="00094E49" w:rsidP="00094E49">
      <w:pPr>
        <w:spacing w:before="120" w:after="120" w:line="240" w:lineRule="auto"/>
        <w:jc w:val="both"/>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ANOVA Results</w:t>
      </w:r>
    </w:p>
    <w:p w14:paraId="78E253D2" w14:textId="39749909" w:rsidR="00C9290D" w:rsidRPr="00094E49" w:rsidRDefault="00C9290D" w:rsidP="00094E49">
      <w:pPr>
        <w:spacing w:before="120" w:after="120" w:line="240" w:lineRule="auto"/>
        <w:jc w:val="both"/>
        <w:rPr>
          <w:rFonts w:ascii="Calibri Light" w:eastAsia="Times New Roman" w:hAnsi="Calibri Light" w:cs="Times New Roman"/>
          <w:sz w:val="24"/>
          <w:szCs w:val="24"/>
          <w:lang w:val="en-ID" w:eastAsia="id-ID"/>
        </w:rPr>
      </w:pPr>
      <w:r>
        <w:rPr>
          <w:rFonts w:ascii="Calibri Light" w:eastAsia="Times New Roman" w:hAnsi="Calibri Light" w:cs="Times New Roman"/>
          <w:sz w:val="24"/>
          <w:szCs w:val="24"/>
          <w:lang w:val="en-ID" w:eastAsia="id-ID"/>
        </w:rPr>
        <w:t>E</w:t>
      </w:r>
      <w:r w:rsidR="00094E49" w:rsidRPr="00094E49">
        <w:rPr>
          <w:rFonts w:ascii="Calibri Light" w:eastAsia="Times New Roman" w:hAnsi="Calibri Light" w:cs="Times New Roman"/>
          <w:sz w:val="24"/>
          <w:szCs w:val="24"/>
          <w:lang w:val="en-ID" w:eastAsia="id-ID"/>
        </w:rPr>
        <w:t>xplore variations in perceptions across different demographic groups:</w:t>
      </w:r>
    </w:p>
    <w:p w14:paraId="05B382BD" w14:textId="649A1CD7" w:rsidR="00094E49" w:rsidRPr="007D58A7" w:rsidRDefault="00094E49" w:rsidP="00C9290D">
      <w:pPr>
        <w:spacing w:before="120" w:after="120" w:line="240" w:lineRule="auto"/>
        <w:jc w:val="center"/>
        <w:rPr>
          <w:rFonts w:ascii="Calibri Light" w:eastAsia="Times New Roman" w:hAnsi="Calibri Light" w:cs="Times New Roman"/>
          <w:sz w:val="24"/>
          <w:szCs w:val="24"/>
          <w:lang w:val="en-ID" w:eastAsia="id-ID"/>
        </w:rPr>
      </w:pPr>
      <w:r w:rsidRPr="007D58A7">
        <w:rPr>
          <w:rFonts w:ascii="Calibri Light" w:eastAsia="Times New Roman" w:hAnsi="Calibri Light" w:cs="Times New Roman"/>
          <w:sz w:val="24"/>
          <w:szCs w:val="24"/>
          <w:lang w:val="en-ID" w:eastAsia="id-ID"/>
        </w:rPr>
        <w:t>Table 7</w:t>
      </w:r>
      <w:r w:rsidR="007D58A7" w:rsidRPr="007D58A7">
        <w:rPr>
          <w:rFonts w:ascii="Calibri Light" w:eastAsia="Times New Roman" w:hAnsi="Calibri Light" w:cs="Times New Roman"/>
          <w:sz w:val="24"/>
          <w:szCs w:val="24"/>
          <w:lang w:val="en-ID" w:eastAsia="id-ID"/>
        </w:rPr>
        <w:t>.</w:t>
      </w:r>
      <w:r w:rsidRPr="007D58A7">
        <w:rPr>
          <w:rFonts w:ascii="Calibri Light" w:eastAsia="Times New Roman" w:hAnsi="Calibri Light" w:cs="Times New Roman"/>
          <w:sz w:val="24"/>
          <w:szCs w:val="24"/>
          <w:lang w:val="en-ID" w:eastAsia="id-ID"/>
        </w:rPr>
        <w:t xml:space="preserve"> ANOVA Results for Perceptions of Sustainable Agriculture</w:t>
      </w:r>
    </w:p>
    <w:tbl>
      <w:tblPr>
        <w:tblStyle w:val="TableGrid"/>
        <w:tblW w:w="0" w:type="auto"/>
        <w:jc w:val="center"/>
        <w:tblLook w:val="04A0" w:firstRow="1" w:lastRow="0" w:firstColumn="1" w:lastColumn="0" w:noHBand="0" w:noVBand="1"/>
      </w:tblPr>
      <w:tblGrid>
        <w:gridCol w:w="3128"/>
        <w:gridCol w:w="1768"/>
        <w:gridCol w:w="423"/>
        <w:gridCol w:w="1550"/>
        <w:gridCol w:w="949"/>
        <w:gridCol w:w="963"/>
      </w:tblGrid>
      <w:tr w:rsidR="00094E49" w:rsidRPr="00094E49" w14:paraId="59538DBC" w14:textId="77777777" w:rsidTr="00C9290D">
        <w:trPr>
          <w:jc w:val="center"/>
        </w:trPr>
        <w:tc>
          <w:tcPr>
            <w:tcW w:w="0" w:type="auto"/>
            <w:vAlign w:val="center"/>
            <w:hideMark/>
          </w:tcPr>
          <w:p w14:paraId="52AB48E7"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Variable</w:t>
            </w:r>
          </w:p>
        </w:tc>
        <w:tc>
          <w:tcPr>
            <w:tcW w:w="0" w:type="auto"/>
            <w:vAlign w:val="center"/>
            <w:hideMark/>
          </w:tcPr>
          <w:p w14:paraId="1018A142"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Sum of Squares</w:t>
            </w:r>
          </w:p>
        </w:tc>
        <w:tc>
          <w:tcPr>
            <w:tcW w:w="0" w:type="auto"/>
            <w:vAlign w:val="center"/>
            <w:hideMark/>
          </w:tcPr>
          <w:p w14:paraId="1BEF2490"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proofErr w:type="spellStart"/>
            <w:r w:rsidRPr="00094E49">
              <w:rPr>
                <w:rFonts w:ascii="Calibri Light" w:eastAsia="Times New Roman" w:hAnsi="Calibri Light" w:cs="Times New Roman"/>
                <w:b/>
                <w:bCs/>
                <w:sz w:val="24"/>
                <w:szCs w:val="24"/>
                <w:lang w:val="en-ID" w:eastAsia="id-ID"/>
              </w:rPr>
              <w:t>df</w:t>
            </w:r>
            <w:proofErr w:type="spellEnd"/>
          </w:p>
        </w:tc>
        <w:tc>
          <w:tcPr>
            <w:tcW w:w="0" w:type="auto"/>
            <w:vAlign w:val="center"/>
            <w:hideMark/>
          </w:tcPr>
          <w:p w14:paraId="405A7C02"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Mean Square</w:t>
            </w:r>
          </w:p>
        </w:tc>
        <w:tc>
          <w:tcPr>
            <w:tcW w:w="0" w:type="auto"/>
            <w:vAlign w:val="center"/>
            <w:hideMark/>
          </w:tcPr>
          <w:p w14:paraId="6A542E71"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F-value</w:t>
            </w:r>
          </w:p>
        </w:tc>
        <w:tc>
          <w:tcPr>
            <w:tcW w:w="0" w:type="auto"/>
            <w:vAlign w:val="center"/>
            <w:hideMark/>
          </w:tcPr>
          <w:p w14:paraId="3A869D76" w14:textId="77777777" w:rsidR="00094E49" w:rsidRPr="00094E49" w:rsidRDefault="00094E49" w:rsidP="007D58A7">
            <w:pPr>
              <w:snapToGrid w:val="0"/>
              <w:contextualSpacing/>
              <w:jc w:val="center"/>
              <w:rPr>
                <w:rFonts w:ascii="Calibri Light" w:eastAsia="Times New Roman" w:hAnsi="Calibri Light" w:cs="Times New Roman"/>
                <w:b/>
                <w:bCs/>
                <w:sz w:val="24"/>
                <w:szCs w:val="24"/>
                <w:lang w:val="en-ID" w:eastAsia="id-ID"/>
              </w:rPr>
            </w:pPr>
            <w:r w:rsidRPr="00094E49">
              <w:rPr>
                <w:rFonts w:ascii="Calibri Light" w:eastAsia="Times New Roman" w:hAnsi="Calibri Light" w:cs="Times New Roman"/>
                <w:b/>
                <w:bCs/>
                <w:sz w:val="24"/>
                <w:szCs w:val="24"/>
                <w:lang w:val="en-ID" w:eastAsia="id-ID"/>
              </w:rPr>
              <w:t>p-value</w:t>
            </w:r>
          </w:p>
        </w:tc>
      </w:tr>
      <w:tr w:rsidR="00094E49" w:rsidRPr="00094E49" w14:paraId="45032F54" w14:textId="77777777" w:rsidTr="00C9290D">
        <w:trPr>
          <w:jc w:val="center"/>
        </w:trPr>
        <w:tc>
          <w:tcPr>
            <w:tcW w:w="0" w:type="auto"/>
            <w:vAlign w:val="center"/>
            <w:hideMark/>
          </w:tcPr>
          <w:p w14:paraId="7571454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Adoption of Precision Farming</w:t>
            </w:r>
          </w:p>
        </w:tc>
        <w:tc>
          <w:tcPr>
            <w:tcW w:w="0" w:type="auto"/>
            <w:vAlign w:val="center"/>
            <w:hideMark/>
          </w:tcPr>
          <w:p w14:paraId="157BA8C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65.43</w:t>
            </w:r>
          </w:p>
        </w:tc>
        <w:tc>
          <w:tcPr>
            <w:tcW w:w="0" w:type="auto"/>
            <w:vAlign w:val="center"/>
            <w:hideMark/>
          </w:tcPr>
          <w:p w14:paraId="4406E164"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57017FE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32.72</w:t>
            </w:r>
          </w:p>
        </w:tc>
        <w:tc>
          <w:tcPr>
            <w:tcW w:w="0" w:type="auto"/>
            <w:vAlign w:val="center"/>
            <w:hideMark/>
          </w:tcPr>
          <w:p w14:paraId="6F94EB8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14.23</w:t>
            </w:r>
          </w:p>
        </w:tc>
        <w:tc>
          <w:tcPr>
            <w:tcW w:w="0" w:type="auto"/>
            <w:vAlign w:val="center"/>
            <w:hideMark/>
          </w:tcPr>
          <w:p w14:paraId="3F1C8ABC"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&lt; 0.001</w:t>
            </w:r>
          </w:p>
        </w:tc>
      </w:tr>
      <w:tr w:rsidR="00094E49" w:rsidRPr="00094E49" w14:paraId="4EF61DE5" w14:textId="77777777" w:rsidTr="00C9290D">
        <w:trPr>
          <w:jc w:val="center"/>
        </w:trPr>
        <w:tc>
          <w:tcPr>
            <w:tcW w:w="0" w:type="auto"/>
            <w:vAlign w:val="center"/>
            <w:hideMark/>
          </w:tcPr>
          <w:p w14:paraId="263B8BF9"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Resilience to Climate Change</w:t>
            </w:r>
          </w:p>
        </w:tc>
        <w:tc>
          <w:tcPr>
            <w:tcW w:w="0" w:type="auto"/>
            <w:vAlign w:val="center"/>
            <w:hideMark/>
          </w:tcPr>
          <w:p w14:paraId="55759CDB"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43.21</w:t>
            </w:r>
          </w:p>
        </w:tc>
        <w:tc>
          <w:tcPr>
            <w:tcW w:w="0" w:type="auto"/>
            <w:vAlign w:val="center"/>
            <w:hideMark/>
          </w:tcPr>
          <w:p w14:paraId="1C0F6FC0"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173EEBB3"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21.60</w:t>
            </w:r>
          </w:p>
        </w:tc>
        <w:tc>
          <w:tcPr>
            <w:tcW w:w="0" w:type="auto"/>
            <w:vAlign w:val="center"/>
            <w:hideMark/>
          </w:tcPr>
          <w:p w14:paraId="63E4E86C"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9.37</w:t>
            </w:r>
          </w:p>
        </w:tc>
        <w:tc>
          <w:tcPr>
            <w:tcW w:w="0" w:type="auto"/>
            <w:vAlign w:val="center"/>
            <w:hideMark/>
          </w:tcPr>
          <w:p w14:paraId="5FB5727D"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&lt; 0.001</w:t>
            </w:r>
          </w:p>
        </w:tc>
      </w:tr>
      <w:tr w:rsidR="00094E49" w:rsidRPr="00094E49" w14:paraId="09EE2335" w14:textId="77777777" w:rsidTr="00C9290D">
        <w:trPr>
          <w:jc w:val="center"/>
        </w:trPr>
        <w:tc>
          <w:tcPr>
            <w:tcW w:w="0" w:type="auto"/>
            <w:vAlign w:val="center"/>
            <w:hideMark/>
          </w:tcPr>
          <w:p w14:paraId="52E5B707"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Impact on Livelihoods</w:t>
            </w:r>
          </w:p>
        </w:tc>
        <w:tc>
          <w:tcPr>
            <w:tcW w:w="0" w:type="auto"/>
            <w:vAlign w:val="center"/>
            <w:hideMark/>
          </w:tcPr>
          <w:p w14:paraId="51AB6368"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28.76</w:t>
            </w:r>
          </w:p>
        </w:tc>
        <w:tc>
          <w:tcPr>
            <w:tcW w:w="0" w:type="auto"/>
            <w:vAlign w:val="center"/>
            <w:hideMark/>
          </w:tcPr>
          <w:p w14:paraId="37115AC8"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2</w:t>
            </w:r>
          </w:p>
        </w:tc>
        <w:tc>
          <w:tcPr>
            <w:tcW w:w="0" w:type="auto"/>
            <w:vAlign w:val="center"/>
            <w:hideMark/>
          </w:tcPr>
          <w:p w14:paraId="2FD487DE"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14.38</w:t>
            </w:r>
          </w:p>
        </w:tc>
        <w:tc>
          <w:tcPr>
            <w:tcW w:w="0" w:type="auto"/>
            <w:vAlign w:val="center"/>
            <w:hideMark/>
          </w:tcPr>
          <w:p w14:paraId="076D27FE"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6.21</w:t>
            </w:r>
          </w:p>
        </w:tc>
        <w:tc>
          <w:tcPr>
            <w:tcW w:w="0" w:type="auto"/>
            <w:vAlign w:val="center"/>
            <w:hideMark/>
          </w:tcPr>
          <w:p w14:paraId="01A3F4AC" w14:textId="77777777" w:rsidR="00094E49" w:rsidRPr="00094E49" w:rsidRDefault="00094E49" w:rsidP="007D58A7">
            <w:pPr>
              <w:snapToGrid w:val="0"/>
              <w:contextualSpacing/>
              <w:jc w:val="center"/>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0.002</w:t>
            </w:r>
          </w:p>
        </w:tc>
      </w:tr>
    </w:tbl>
    <w:p w14:paraId="0FC96EFE" w14:textId="7137C596" w:rsidR="00094E49" w:rsidRPr="00094E49" w:rsidRDefault="00094E49" w:rsidP="00094E49">
      <w:pPr>
        <w:spacing w:before="120" w:after="120" w:line="240" w:lineRule="auto"/>
        <w:jc w:val="both"/>
        <w:rPr>
          <w:rFonts w:ascii="Calibri Light" w:eastAsia="Times New Roman" w:hAnsi="Calibri Light" w:cs="Times New Roman"/>
          <w:sz w:val="24"/>
          <w:szCs w:val="24"/>
          <w:lang w:val="en-ID" w:eastAsia="id-ID"/>
        </w:rPr>
      </w:pPr>
      <w:r w:rsidRPr="00094E49">
        <w:rPr>
          <w:rFonts w:ascii="Calibri Light" w:eastAsia="Times New Roman" w:hAnsi="Calibri Light" w:cs="Times New Roman"/>
          <w:sz w:val="24"/>
          <w:szCs w:val="24"/>
          <w:lang w:val="en-ID" w:eastAsia="id-ID"/>
        </w:rPr>
        <w:t>The ANOVA results reveal significant variations in perceptions of sustainable agriculture across different levels of adoption of precision farming, resilience to climate change, and impact on livelihoods (p &lt; 0.001). This suggests that these demographic factors significantly influence participants' perspectives on sustainable agriculture.</w:t>
      </w:r>
    </w:p>
    <w:p w14:paraId="26F3A755" w14:textId="37C4E601" w:rsidR="00C9290D" w:rsidRPr="00C9290D" w:rsidRDefault="00C9290D" w:rsidP="00C9290D">
      <w:pPr>
        <w:spacing w:before="120" w:after="120" w:line="240" w:lineRule="auto"/>
        <w:jc w:val="both"/>
        <w:rPr>
          <w:rFonts w:ascii="Calibri Light" w:hAnsi="Calibri Light" w:cs="Calibri Light"/>
          <w:b/>
          <w:sz w:val="24"/>
          <w:szCs w:val="24"/>
          <w:lang w:val="en-ID"/>
        </w:rPr>
      </w:pPr>
      <w:r w:rsidRPr="00C9290D">
        <w:rPr>
          <w:rFonts w:ascii="Calibri Light" w:hAnsi="Calibri Light" w:cs="Calibri Light"/>
          <w:b/>
          <w:sz w:val="24"/>
          <w:szCs w:val="24"/>
          <w:lang w:val="en-ID"/>
        </w:rPr>
        <w:t>Technological Innovations and Agricultural Productivity</w:t>
      </w:r>
    </w:p>
    <w:p w14:paraId="6C672D56"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The regression analysis reveals a substantial positive impact of technological innovations on agricultural productivity. Specifically, the adoption of precision farming emerges as a robust predictor, aligning with contemporary literature emphasizing the transformative potential of precision agriculture (Wang et al., 2022). Precision farming, characterized by the integration of advanced technologies like GPS-guided machinery and data analytics, offers practical solutions for optimizing resource utilization, minimizing environmental impact, and maximizing yields (Robertson &amp; Diaz, 2023).</w:t>
      </w:r>
    </w:p>
    <w:p w14:paraId="4D4324B1" w14:textId="29886BC6"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The integration of artificial intelligence (AI) in agriculture and the utilization of genetic engineering also shows positive effects. These findings resonate with recent studies, such as the work by Chen and Gupta (2021), which explores the integration of blockchain technology in supply chain management, highlighting the potential for technological advancements to revolutionize agricultural practices. The study adds depth by indicating that a comprehensive approach, amalgamating precision farming, AI, and genetic engineering, could form a powerful foundation for sustainable agricultural practices in the face of evolving challenges.</w:t>
      </w:r>
    </w:p>
    <w:p w14:paraId="23E37C3C" w14:textId="17B89027" w:rsidR="00C9290D" w:rsidRPr="00C9290D" w:rsidRDefault="00C9290D" w:rsidP="00C9290D">
      <w:pPr>
        <w:spacing w:before="120" w:after="120" w:line="240" w:lineRule="auto"/>
        <w:jc w:val="both"/>
        <w:rPr>
          <w:rFonts w:ascii="Calibri Light" w:hAnsi="Calibri Light" w:cs="Calibri Light"/>
          <w:b/>
          <w:sz w:val="24"/>
          <w:szCs w:val="24"/>
          <w:lang w:val="en-ID"/>
        </w:rPr>
      </w:pPr>
      <w:r w:rsidRPr="00C9290D">
        <w:rPr>
          <w:rFonts w:ascii="Calibri Light" w:hAnsi="Calibri Light" w:cs="Calibri Light"/>
          <w:b/>
          <w:sz w:val="24"/>
          <w:szCs w:val="24"/>
          <w:lang w:val="en-ID"/>
        </w:rPr>
        <w:t>Agricultural Resilience in the Face of Climate Change</w:t>
      </w:r>
    </w:p>
    <w:p w14:paraId="6921CCC8"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 xml:space="preserve">The correlation analysis underscores positive relationships between the adoption of precision farming and resilience to climate change. This finding aligns with the global imperative outlined </w:t>
      </w:r>
      <w:r w:rsidRPr="00C9290D">
        <w:rPr>
          <w:rFonts w:ascii="Calibri Light" w:hAnsi="Calibri Light" w:cs="Calibri Light"/>
          <w:bCs/>
          <w:sz w:val="24"/>
          <w:szCs w:val="24"/>
          <w:lang w:val="en-ID"/>
        </w:rPr>
        <w:lastRenderedPageBreak/>
        <w:t>by the Intergovernmental Panel on Climate Change (IPCC, 2023), emphasizing the urgency of building resilient agricultural systems to mitigate climate-related risks. The study contributes practical implications by asserting that investments in precision farming technologies can be instrumental in building adaptive capacity, ensuring sustainable food production despite the challenges posed by a changing climate.</w:t>
      </w:r>
    </w:p>
    <w:p w14:paraId="50B9FD55"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The practical implications are evident in the real-world applications of precision agriculture, which has demonstrated its capacity to enhance climate resilience by enabling adaptive strategies in response to changing environmental conditions (Lou et al., 2024). By fostering a dynamic and data-driven approach, precision farming becomes a linchpin in fortifying agricultural systems against the uncertainties associated with climate change, ensuring the long-term sustainability of food production.</w:t>
      </w:r>
    </w:p>
    <w:p w14:paraId="0A387635" w14:textId="116096CA" w:rsidR="00C9290D" w:rsidRPr="00C9290D" w:rsidRDefault="00C9290D" w:rsidP="00C9290D">
      <w:pPr>
        <w:spacing w:before="120" w:after="120" w:line="240" w:lineRule="auto"/>
        <w:jc w:val="both"/>
        <w:rPr>
          <w:rFonts w:ascii="Calibri Light" w:hAnsi="Calibri Light" w:cs="Calibri Light"/>
          <w:bCs/>
          <w:sz w:val="24"/>
          <w:szCs w:val="24"/>
          <w:lang w:val="en-ID"/>
        </w:rPr>
      </w:pPr>
      <w:r w:rsidRPr="007D58A7">
        <w:rPr>
          <w:rFonts w:ascii="Calibri Light" w:hAnsi="Calibri Light" w:cs="Calibri Light"/>
          <w:b/>
          <w:sz w:val="24"/>
          <w:szCs w:val="24"/>
          <w:lang w:val="en-ID"/>
        </w:rPr>
        <w:t>Socio-economic Dimensions of Sustainable Agriculture</w:t>
      </w:r>
    </w:p>
    <w:p w14:paraId="331B77F1"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The study's socio-economic dimensions reveal generally positive perceptions, with high mean scores for impact on livelihoods, community involvement, and access to sustainable practices. These findings resonate with the broader discourse surrounding the importance of sustainable agriculture in fostering community well-being and livelihoods (FAO, 2021). The positive correlation between community involvement and the impact on livelihoods echoes the work of Reynolds and Nguyen (2018), asserting that communal engagement is a crucial component of successful sustainable agriculture initiatives.</w:t>
      </w:r>
    </w:p>
    <w:p w14:paraId="3FD5243B"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 xml:space="preserve">The findings suggest that sustainable agriculture is not merely an economic </w:t>
      </w:r>
      <w:proofErr w:type="spellStart"/>
      <w:r w:rsidRPr="00C9290D">
        <w:rPr>
          <w:rFonts w:ascii="Calibri Light" w:hAnsi="Calibri Light" w:cs="Calibri Light"/>
          <w:bCs/>
          <w:sz w:val="24"/>
          <w:szCs w:val="24"/>
          <w:lang w:val="en-ID"/>
        </w:rPr>
        <w:t>endeavor</w:t>
      </w:r>
      <w:proofErr w:type="spellEnd"/>
      <w:r w:rsidRPr="00C9290D">
        <w:rPr>
          <w:rFonts w:ascii="Calibri Light" w:hAnsi="Calibri Light" w:cs="Calibri Light"/>
          <w:bCs/>
          <w:sz w:val="24"/>
          <w:szCs w:val="24"/>
          <w:lang w:val="en-ID"/>
        </w:rPr>
        <w:t xml:space="preserve"> but also a social one, with community involvement playing a pivotal role. This aligns with the argument put forth by Wang and Li (2022), who delve into the dynamic relationship between climate change and crop resilience, emphasizing the importance of a holistic approach that considers both ecological and socio-economic dimensions. The variations across demographic groups, as highlighted by the ANOVA results, underscore the need for targeted and context-specific interventions, acknowledging the diversity of perspectives within sustainable agriculture.</w:t>
      </w:r>
    </w:p>
    <w:p w14:paraId="6EDBB071" w14:textId="41858F36" w:rsidR="00C9290D" w:rsidRPr="00C9290D" w:rsidRDefault="00C9290D" w:rsidP="00C9290D">
      <w:pPr>
        <w:spacing w:before="120" w:after="120" w:line="240" w:lineRule="auto"/>
        <w:jc w:val="both"/>
        <w:rPr>
          <w:rFonts w:ascii="Calibri Light" w:hAnsi="Calibri Light" w:cs="Calibri Light"/>
          <w:b/>
          <w:sz w:val="24"/>
          <w:szCs w:val="24"/>
          <w:lang w:val="en-ID"/>
        </w:rPr>
      </w:pPr>
      <w:r w:rsidRPr="00C9290D">
        <w:rPr>
          <w:rFonts w:ascii="Calibri Light" w:hAnsi="Calibri Light" w:cs="Calibri Light"/>
          <w:b/>
          <w:sz w:val="24"/>
          <w:szCs w:val="24"/>
          <w:lang w:val="en-ID"/>
        </w:rPr>
        <w:t>Comparisons with Previous Studies</w:t>
      </w:r>
    </w:p>
    <w:p w14:paraId="7D0CC40D"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Comparing the findings with previous studies reveals both consistencies and nuances. The positive impact of precision farming on productivity aligns with Robertson and Diaz's (2023) success story, emphasizing the practical benefits of precision agriculture. However, the current study adds depth by considering the broader spectrum of technological innovations and their collective impact on sustainability.</w:t>
      </w:r>
    </w:p>
    <w:p w14:paraId="6DCA213A" w14:textId="77777777" w:rsidR="00C9290D" w:rsidRP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Similarly, the emphasis on resilience to climate change echoes the global call highlighted by the IPCC (2023). The nuanced contribution here lies in connecting technological solutions, particularly precision farming, to the broader agenda of climate resilience. This bridges the gap between technological advancements and the urgent need for adaptive strategies in the face of climate change.</w:t>
      </w:r>
    </w:p>
    <w:p w14:paraId="7E69ADAB" w14:textId="77777777" w:rsidR="00C9290D" w:rsidRDefault="00C9290D" w:rsidP="00C9290D">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In terms of socio-economic dimensions, the positive correlations align with the broader narrative of sustainable agriculture's positive impact on livelihoods and communities (FAO, 2021). However, the variations across demographic groups underscore the need for targeted and context-specific interventions, a dimension not explicitly addressed in some previous studies.</w:t>
      </w:r>
    </w:p>
    <w:p w14:paraId="3A6B1143" w14:textId="77777777" w:rsidR="007D58A7" w:rsidRPr="00C9290D" w:rsidRDefault="007D58A7" w:rsidP="00C9290D">
      <w:pPr>
        <w:spacing w:before="120" w:after="120" w:line="240" w:lineRule="auto"/>
        <w:jc w:val="both"/>
        <w:rPr>
          <w:rFonts w:ascii="Calibri Light" w:hAnsi="Calibri Light" w:cs="Calibri Light"/>
          <w:bCs/>
          <w:sz w:val="24"/>
          <w:szCs w:val="24"/>
          <w:lang w:val="en-ID"/>
        </w:rPr>
      </w:pPr>
    </w:p>
    <w:p w14:paraId="49E7BA13" w14:textId="24CE473C" w:rsidR="007D58A7" w:rsidRPr="00C9290D" w:rsidRDefault="00C9290D" w:rsidP="00C9290D">
      <w:pPr>
        <w:spacing w:before="120" w:after="120" w:line="240" w:lineRule="auto"/>
        <w:jc w:val="both"/>
        <w:rPr>
          <w:rFonts w:ascii="Calibri Light" w:hAnsi="Calibri Light" w:cs="Calibri Light"/>
          <w:b/>
          <w:color w:val="385623" w:themeColor="accent6" w:themeShade="80"/>
          <w:sz w:val="24"/>
          <w:szCs w:val="24"/>
          <w:lang w:val="en-ID"/>
        </w:rPr>
      </w:pPr>
      <w:r w:rsidRPr="00C9290D">
        <w:rPr>
          <w:rFonts w:ascii="Calibri Light" w:hAnsi="Calibri Light" w:cs="Calibri Light"/>
          <w:b/>
          <w:color w:val="385623" w:themeColor="accent6" w:themeShade="80"/>
          <w:sz w:val="24"/>
          <w:szCs w:val="24"/>
          <w:lang w:val="en-ID"/>
        </w:rPr>
        <w:lastRenderedPageBreak/>
        <w:t>Conclusion</w:t>
      </w:r>
    </w:p>
    <w:p w14:paraId="2C624B0A" w14:textId="19D185E0" w:rsidR="00DC7977" w:rsidRPr="007D58A7" w:rsidRDefault="00C9290D" w:rsidP="00DC7977">
      <w:pPr>
        <w:spacing w:before="120" w:after="120" w:line="240" w:lineRule="auto"/>
        <w:jc w:val="both"/>
        <w:rPr>
          <w:rFonts w:ascii="Calibri Light" w:hAnsi="Calibri Light" w:cs="Calibri Light"/>
          <w:bCs/>
          <w:sz w:val="24"/>
          <w:szCs w:val="24"/>
          <w:lang w:val="en-ID"/>
        </w:rPr>
      </w:pPr>
      <w:r w:rsidRPr="00C9290D">
        <w:rPr>
          <w:rFonts w:ascii="Calibri Light" w:hAnsi="Calibri Light" w:cs="Calibri Light"/>
          <w:bCs/>
          <w:sz w:val="24"/>
          <w:szCs w:val="24"/>
          <w:lang w:val="en-ID"/>
        </w:rPr>
        <w:t>In conclusion, this study contributes practical insights into the role of technological innovations in sustainable agriculture, reaffirming the interconnectedness of innovation, resilience, and global food security. The findings underscore the practical implications of adopting precision farming practices, integrating AI, and leveraging genetic engineering to enhance productivity and build resilience. Moreover, the positive socio-economic perceptions highlight the need for tailored interventions, recognizing the diversity of perspectives within sustainable agriculture.</w:t>
      </w:r>
      <w:r w:rsidR="007D58A7">
        <w:rPr>
          <w:rFonts w:ascii="Calibri Light" w:hAnsi="Calibri Light" w:cs="Calibri Light"/>
          <w:bCs/>
          <w:sz w:val="24"/>
          <w:szCs w:val="24"/>
          <w:lang w:val="en-ID"/>
        </w:rPr>
        <w:t xml:space="preserve"> </w:t>
      </w:r>
      <w:r w:rsidRPr="00C9290D">
        <w:rPr>
          <w:rFonts w:ascii="Calibri Light" w:hAnsi="Calibri Light" w:cs="Calibri Light"/>
          <w:bCs/>
          <w:sz w:val="24"/>
          <w:szCs w:val="24"/>
          <w:lang w:val="en-ID"/>
        </w:rPr>
        <w:t>The discussion positions this study as a continuum in the evolving discourse on sustainable agriculture, offering practical recommendations for stakeholders and policymakers. As the global community strives towards achieving sustainable development goals, this research underscores the pivotal role that innovative and resilient agricultural practices play in securing a sustainable and food-secure future.</w:t>
      </w:r>
    </w:p>
    <w:p w14:paraId="6F0FFBBE" w14:textId="3FBFB041" w:rsidR="00094E49" w:rsidRPr="00094E49" w:rsidRDefault="00581BF1" w:rsidP="00094E49">
      <w:pPr>
        <w:spacing w:before="120" w:after="120" w:line="240" w:lineRule="auto"/>
        <w:jc w:val="both"/>
        <w:rPr>
          <w:rFonts w:ascii="Calibri Light" w:hAnsi="Calibri Light" w:cs="Calibri Light"/>
          <w:b/>
          <w:color w:val="385623"/>
          <w:sz w:val="24"/>
          <w:szCs w:val="24"/>
        </w:rPr>
      </w:pPr>
      <w:r w:rsidRPr="00D277D6">
        <w:rPr>
          <w:rFonts w:ascii="Calibri Light" w:hAnsi="Calibri Light" w:cs="Calibri Light"/>
          <w:b/>
          <w:color w:val="385623"/>
          <w:sz w:val="24"/>
          <w:szCs w:val="24"/>
        </w:rPr>
        <w:t>References</w:t>
      </w:r>
    </w:p>
    <w:p w14:paraId="42EC8285" w14:textId="77777777" w:rsidR="00C9290D" w:rsidRPr="00DC7977"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DC7977">
        <w:rPr>
          <w:rFonts w:asciiTheme="majorHAnsi" w:hAnsiTheme="majorHAnsi" w:cstheme="majorHAnsi"/>
          <w:iCs/>
          <w:shd w:val="clear" w:color="auto" w:fill="FFFFFF"/>
          <w:lang w:val="en-ID"/>
        </w:rPr>
        <w:t>Chen, Y., &amp; Gupta, R. (2021).</w:t>
      </w:r>
      <w:r w:rsidRPr="00DC7977">
        <w:rPr>
          <w:rFonts w:asciiTheme="majorHAnsi" w:hAnsiTheme="majorHAnsi" w:cstheme="majorHAnsi"/>
          <w:i/>
          <w:shd w:val="clear" w:color="auto" w:fill="FFFFFF"/>
          <w:lang w:val="en-ID"/>
        </w:rPr>
        <w:t xml:space="preserve"> </w:t>
      </w:r>
      <w:r w:rsidRPr="00DC7977">
        <w:rPr>
          <w:rFonts w:asciiTheme="majorHAnsi" w:hAnsiTheme="majorHAnsi" w:cstheme="majorHAnsi"/>
          <w:iCs/>
          <w:shd w:val="clear" w:color="auto" w:fill="FFFFFF"/>
          <w:lang w:val="en-ID"/>
        </w:rPr>
        <w:t>Blockchain in Sustainable Agriculture: Enhancing Transparency in Supply Chain Management.</w:t>
      </w:r>
      <w:r w:rsidRPr="00DC7977">
        <w:rPr>
          <w:rFonts w:asciiTheme="majorHAnsi" w:hAnsiTheme="majorHAnsi" w:cstheme="majorHAnsi"/>
          <w:i/>
          <w:shd w:val="clear" w:color="auto" w:fill="FFFFFF"/>
          <w:lang w:val="en-ID"/>
        </w:rPr>
        <w:t xml:space="preserve"> </w:t>
      </w:r>
      <w:r w:rsidRPr="00DC7977">
        <w:rPr>
          <w:rFonts w:asciiTheme="majorHAnsi" w:hAnsiTheme="majorHAnsi" w:cstheme="majorHAnsi"/>
          <w:i/>
          <w:iCs/>
          <w:shd w:val="clear" w:color="auto" w:fill="FFFFFF"/>
          <w:lang w:val="en-ID"/>
        </w:rPr>
        <w:t>Sustainability, 13</w:t>
      </w:r>
      <w:r w:rsidRPr="00DC7977">
        <w:rPr>
          <w:rFonts w:asciiTheme="majorHAnsi" w:hAnsiTheme="majorHAnsi" w:cstheme="majorHAnsi"/>
          <w:i/>
          <w:shd w:val="clear" w:color="auto" w:fill="FFFFFF"/>
          <w:lang w:val="en-ID"/>
        </w:rPr>
        <w:t>(11), 6102.</w:t>
      </w:r>
    </w:p>
    <w:p w14:paraId="79350BC0" w14:textId="77777777" w:rsidR="00C9290D" w:rsidRPr="00DC7977"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shd w:val="clear" w:color="auto" w:fill="FFFFFF"/>
          <w:lang w:val="en-ID"/>
        </w:rPr>
      </w:pPr>
      <w:r w:rsidRPr="00D277D6">
        <w:rPr>
          <w:rFonts w:asciiTheme="majorHAnsi" w:hAnsiTheme="majorHAnsi"/>
          <w:shd w:val="clear" w:color="auto" w:fill="FFFFFF"/>
        </w:rPr>
        <w:t>D</w:t>
      </w:r>
      <w:r w:rsidRPr="00DC7977">
        <w:rPr>
          <w:lang w:val="en-ID" w:eastAsia="en-ID"/>
        </w:rPr>
        <w:t xml:space="preserve"> </w:t>
      </w:r>
      <w:r w:rsidRPr="00DC7977">
        <w:rPr>
          <w:rFonts w:asciiTheme="majorHAnsi" w:hAnsiTheme="majorHAnsi"/>
          <w:shd w:val="clear" w:color="auto" w:fill="FFFFFF"/>
          <w:lang w:val="en-ID"/>
        </w:rPr>
        <w:t xml:space="preserve">Brown, J., &amp; Greenfield, T. (2023). Beyond Limits: A Meta-Analysis of Traditional Agricultural Systems. </w:t>
      </w:r>
      <w:r w:rsidRPr="00DC7977">
        <w:rPr>
          <w:rFonts w:asciiTheme="majorHAnsi" w:hAnsiTheme="majorHAnsi"/>
          <w:i/>
          <w:iCs/>
          <w:shd w:val="clear" w:color="auto" w:fill="FFFFFF"/>
          <w:lang w:val="en-ID"/>
        </w:rPr>
        <w:t>Journal of Agricultural Science, 45</w:t>
      </w:r>
      <w:r w:rsidRPr="00DC7977">
        <w:rPr>
          <w:rFonts w:asciiTheme="majorHAnsi" w:hAnsiTheme="majorHAnsi"/>
          <w:shd w:val="clear" w:color="auto" w:fill="FFFFFF"/>
          <w:lang w:val="en-ID"/>
        </w:rPr>
        <w:t>(3), 289-305.</w:t>
      </w:r>
    </w:p>
    <w:p w14:paraId="0310CF99" w14:textId="77777777" w:rsidR="00C9290D" w:rsidRPr="00094E49"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094E49">
        <w:rPr>
          <w:rFonts w:asciiTheme="majorHAnsi" w:hAnsiTheme="majorHAnsi" w:cstheme="majorHAnsi"/>
          <w:iCs/>
          <w:shd w:val="clear" w:color="auto" w:fill="FFFFFF"/>
          <w:lang w:val="en-ID"/>
        </w:rPr>
        <w:t>FAO. (2021). Sustainable Land Management for Climate Resilience. Food and Agriculture Organization.</w:t>
      </w:r>
      <w:r w:rsidRPr="00094E49">
        <w:rPr>
          <w:rFonts w:asciiTheme="majorHAnsi" w:hAnsiTheme="majorHAnsi" w:cstheme="majorHAnsi"/>
          <w:i/>
          <w:shd w:val="clear" w:color="auto" w:fill="FFFFFF"/>
          <w:lang w:val="en-ID"/>
        </w:rPr>
        <w:t xml:space="preserve"> Retrieved from </w:t>
      </w:r>
      <w:hyperlink r:id="rId7" w:history="1">
        <w:r w:rsidRPr="00094E49">
          <w:rPr>
            <w:rStyle w:val="Hyperlink"/>
            <w:rFonts w:asciiTheme="majorHAnsi" w:hAnsiTheme="majorHAnsi" w:cstheme="majorHAnsi"/>
            <w:i/>
            <w:shd w:val="clear" w:color="auto" w:fill="FFFFFF"/>
            <w:lang w:val="en-ID"/>
          </w:rPr>
          <w:t>http://www.fao.org/sustainable-land-management</w:t>
        </w:r>
      </w:hyperlink>
      <w:r>
        <w:rPr>
          <w:rFonts w:asciiTheme="majorHAnsi" w:hAnsiTheme="majorHAnsi" w:cstheme="majorHAnsi"/>
          <w:i/>
          <w:shd w:val="clear" w:color="auto" w:fill="FFFFFF"/>
          <w:lang w:val="en-ID"/>
        </w:rPr>
        <w:t xml:space="preserve"> </w:t>
      </w:r>
    </w:p>
    <w:p w14:paraId="36F8C406" w14:textId="77777777" w:rsidR="00C9290D" w:rsidRPr="00094E49"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094E49">
        <w:rPr>
          <w:rFonts w:asciiTheme="majorHAnsi" w:hAnsiTheme="majorHAnsi" w:cstheme="majorHAnsi"/>
          <w:iCs/>
          <w:shd w:val="clear" w:color="auto" w:fill="FFFFFF"/>
          <w:lang w:val="en-ID"/>
        </w:rPr>
        <w:t>IPCC. (2023).</w:t>
      </w:r>
      <w:r w:rsidRPr="00094E49">
        <w:rPr>
          <w:rFonts w:asciiTheme="majorHAnsi" w:hAnsiTheme="majorHAnsi" w:cstheme="majorHAnsi"/>
          <w:i/>
          <w:shd w:val="clear" w:color="auto" w:fill="FFFFFF"/>
          <w:lang w:val="en-ID"/>
        </w:rPr>
        <w:t xml:space="preserve"> Climate Change 2023: </w:t>
      </w:r>
      <w:r w:rsidRPr="00094E49">
        <w:rPr>
          <w:rFonts w:asciiTheme="majorHAnsi" w:hAnsiTheme="majorHAnsi" w:cstheme="majorHAnsi"/>
          <w:iCs/>
          <w:shd w:val="clear" w:color="auto" w:fill="FFFFFF"/>
          <w:lang w:val="en-ID"/>
        </w:rPr>
        <w:t xml:space="preserve">The Physical Science Basis. Intergovernmental Panel on Climate Change. </w:t>
      </w:r>
      <w:r w:rsidRPr="00094E49">
        <w:rPr>
          <w:rFonts w:asciiTheme="majorHAnsi" w:hAnsiTheme="majorHAnsi" w:cstheme="majorHAnsi"/>
          <w:i/>
          <w:shd w:val="clear" w:color="auto" w:fill="FFFFFF"/>
          <w:lang w:val="en-ID"/>
        </w:rPr>
        <w:t xml:space="preserve">Retrieved from </w:t>
      </w:r>
      <w:hyperlink r:id="rId8" w:history="1">
        <w:r w:rsidRPr="00094E49">
          <w:rPr>
            <w:rStyle w:val="Hyperlink"/>
            <w:rFonts w:asciiTheme="majorHAnsi" w:hAnsiTheme="majorHAnsi" w:cstheme="majorHAnsi"/>
            <w:i/>
            <w:shd w:val="clear" w:color="auto" w:fill="FFFFFF"/>
            <w:lang w:val="en-ID"/>
          </w:rPr>
          <w:t>https://www.ipcc.ch/report/ar6/wg1/</w:t>
        </w:r>
      </w:hyperlink>
      <w:r>
        <w:rPr>
          <w:rFonts w:asciiTheme="majorHAnsi" w:hAnsiTheme="majorHAnsi" w:cstheme="majorHAnsi"/>
          <w:i/>
          <w:shd w:val="clear" w:color="auto" w:fill="FFFFFF"/>
          <w:lang w:val="en-ID"/>
        </w:rPr>
        <w:t xml:space="preserve"> </w:t>
      </w:r>
    </w:p>
    <w:p w14:paraId="0084F0CE" w14:textId="77777777" w:rsidR="00C9290D" w:rsidRPr="00094E49"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Cs/>
          <w:shd w:val="clear" w:color="auto" w:fill="FFFFFF"/>
          <w:lang w:val="en-ID"/>
        </w:rPr>
      </w:pPr>
      <w:r w:rsidRPr="00094E49">
        <w:rPr>
          <w:rFonts w:asciiTheme="majorHAnsi" w:hAnsiTheme="majorHAnsi" w:cstheme="majorHAnsi"/>
          <w:iCs/>
          <w:shd w:val="clear" w:color="auto" w:fill="FFFFFF"/>
          <w:lang w:val="en-ID"/>
        </w:rPr>
        <w:t xml:space="preserve">Johnson, Mark, Anderson, Emily, Smith, Richard, &amp; Davis, Sarah. (2019). Diversified Farming Systems: Economic Viability and Resilience. </w:t>
      </w:r>
      <w:r w:rsidRPr="00094E49">
        <w:rPr>
          <w:rFonts w:asciiTheme="majorHAnsi" w:hAnsiTheme="majorHAnsi" w:cstheme="majorHAnsi"/>
          <w:i/>
          <w:iCs/>
          <w:shd w:val="clear" w:color="auto" w:fill="FFFFFF"/>
          <w:lang w:val="en-ID"/>
        </w:rPr>
        <w:t>Agricultural Economics, 51</w:t>
      </w:r>
      <w:r w:rsidRPr="00094E49">
        <w:rPr>
          <w:rFonts w:asciiTheme="majorHAnsi" w:hAnsiTheme="majorHAnsi" w:cstheme="majorHAnsi"/>
          <w:iCs/>
          <w:shd w:val="clear" w:color="auto" w:fill="FFFFFF"/>
          <w:lang w:val="en-ID"/>
        </w:rPr>
        <w:t>(3), 423–435.</w:t>
      </w:r>
    </w:p>
    <w:p w14:paraId="0716B20E" w14:textId="77777777" w:rsidR="00C9290D" w:rsidRPr="00094E49"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094E49">
        <w:rPr>
          <w:rFonts w:asciiTheme="majorHAnsi" w:hAnsiTheme="majorHAnsi" w:cstheme="majorHAnsi"/>
          <w:iCs/>
          <w:shd w:val="clear" w:color="auto" w:fill="FFFFFF"/>
          <w:lang w:val="en-ID"/>
        </w:rPr>
        <w:t>Lou, C., Zhang, H., Wang, Y., &amp; Chen, J. (2024).</w:t>
      </w:r>
      <w:r w:rsidRPr="00094E49">
        <w:rPr>
          <w:rFonts w:asciiTheme="majorHAnsi" w:hAnsiTheme="majorHAnsi" w:cstheme="majorHAnsi"/>
          <w:i/>
          <w:shd w:val="clear" w:color="auto" w:fill="FFFFFF"/>
          <w:lang w:val="en-ID"/>
        </w:rPr>
        <w:t xml:space="preserve"> Agroecology and Biodiversity: A Path to Sustainable Agriculture. </w:t>
      </w:r>
      <w:r w:rsidRPr="00094E49">
        <w:rPr>
          <w:rFonts w:asciiTheme="majorHAnsi" w:hAnsiTheme="majorHAnsi" w:cstheme="majorHAnsi"/>
          <w:i/>
          <w:iCs/>
          <w:shd w:val="clear" w:color="auto" w:fill="FFFFFF"/>
          <w:lang w:val="en-ID"/>
        </w:rPr>
        <w:t>Ecological Applications, 34</w:t>
      </w:r>
      <w:r w:rsidRPr="00094E49">
        <w:rPr>
          <w:rFonts w:asciiTheme="majorHAnsi" w:hAnsiTheme="majorHAnsi" w:cstheme="majorHAnsi"/>
          <w:i/>
          <w:shd w:val="clear" w:color="auto" w:fill="FFFFFF"/>
          <w:lang w:val="en-ID"/>
        </w:rPr>
        <w:t>(2), 412-428.</w:t>
      </w:r>
    </w:p>
    <w:p w14:paraId="0CB984CD" w14:textId="77777777" w:rsidR="00C9290D" w:rsidRPr="00DC7977"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DC7977">
        <w:rPr>
          <w:rFonts w:asciiTheme="majorHAnsi" w:hAnsiTheme="majorHAnsi" w:cstheme="majorHAnsi"/>
          <w:iCs/>
          <w:shd w:val="clear" w:color="auto" w:fill="FFFFFF"/>
          <w:lang w:val="en-ID"/>
        </w:rPr>
        <w:t>Martinez, A., &amp; Singh, S. (2020</w:t>
      </w:r>
      <w:r w:rsidRPr="00DC7977">
        <w:rPr>
          <w:rFonts w:asciiTheme="majorHAnsi" w:hAnsiTheme="majorHAnsi" w:cstheme="majorHAnsi"/>
          <w:i/>
          <w:shd w:val="clear" w:color="auto" w:fill="FFFFFF"/>
          <w:lang w:val="en-ID"/>
        </w:rPr>
        <w:t xml:space="preserve">). </w:t>
      </w:r>
      <w:r w:rsidRPr="00DC7977">
        <w:rPr>
          <w:rFonts w:asciiTheme="majorHAnsi" w:hAnsiTheme="majorHAnsi" w:cstheme="majorHAnsi"/>
          <w:iCs/>
          <w:shd w:val="clear" w:color="auto" w:fill="FFFFFF"/>
          <w:lang w:val="en-ID"/>
        </w:rPr>
        <w:t>Ecological Implications of Modern Agricultural Practices.</w:t>
      </w:r>
      <w:r w:rsidRPr="00DC7977">
        <w:rPr>
          <w:rFonts w:asciiTheme="majorHAnsi" w:hAnsiTheme="majorHAnsi" w:cstheme="majorHAnsi"/>
          <w:i/>
          <w:shd w:val="clear" w:color="auto" w:fill="FFFFFF"/>
          <w:lang w:val="en-ID"/>
        </w:rPr>
        <w:t xml:space="preserve"> </w:t>
      </w:r>
      <w:r w:rsidRPr="00DC7977">
        <w:rPr>
          <w:rFonts w:asciiTheme="majorHAnsi" w:hAnsiTheme="majorHAnsi" w:cstheme="majorHAnsi"/>
          <w:i/>
          <w:iCs/>
          <w:shd w:val="clear" w:color="auto" w:fill="FFFFFF"/>
          <w:lang w:val="en-ID"/>
        </w:rPr>
        <w:t>Environmental Science and Technology, 44</w:t>
      </w:r>
      <w:r w:rsidRPr="00DC7977">
        <w:rPr>
          <w:rFonts w:asciiTheme="majorHAnsi" w:hAnsiTheme="majorHAnsi" w:cstheme="majorHAnsi"/>
          <w:i/>
          <w:shd w:val="clear" w:color="auto" w:fill="FFFFFF"/>
          <w:lang w:val="en-ID"/>
        </w:rPr>
        <w:t>(7), 2653–2659.</w:t>
      </w:r>
    </w:p>
    <w:p w14:paraId="5F66C74F" w14:textId="77777777" w:rsidR="00C9290D" w:rsidRPr="00C9290D"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C9290D">
        <w:rPr>
          <w:rFonts w:asciiTheme="majorHAnsi" w:hAnsiTheme="majorHAnsi" w:cstheme="majorHAnsi"/>
          <w:iCs/>
          <w:shd w:val="clear" w:color="auto" w:fill="FFFFFF"/>
          <w:lang w:val="en-ID"/>
        </w:rPr>
        <w:t>Reynolds, H., &amp; Nguyen, P. (2018). Social Dimensions of Sustainable Agriculture: The Role of</w:t>
      </w:r>
      <w:r w:rsidRPr="00C9290D">
        <w:rPr>
          <w:rFonts w:asciiTheme="majorHAnsi" w:hAnsiTheme="majorHAnsi" w:cstheme="majorHAnsi"/>
          <w:i/>
          <w:shd w:val="clear" w:color="auto" w:fill="FFFFFF"/>
          <w:lang w:val="en-ID"/>
        </w:rPr>
        <w:t xml:space="preserve"> </w:t>
      </w:r>
      <w:r w:rsidRPr="00C9290D">
        <w:rPr>
          <w:rFonts w:asciiTheme="majorHAnsi" w:hAnsiTheme="majorHAnsi" w:cstheme="majorHAnsi"/>
          <w:iCs/>
          <w:shd w:val="clear" w:color="auto" w:fill="FFFFFF"/>
          <w:lang w:val="en-ID"/>
        </w:rPr>
        <w:t>Community Engagement.</w:t>
      </w:r>
      <w:r w:rsidRPr="00C9290D">
        <w:rPr>
          <w:rFonts w:asciiTheme="majorHAnsi" w:hAnsiTheme="majorHAnsi" w:cstheme="majorHAnsi"/>
          <w:i/>
          <w:shd w:val="clear" w:color="auto" w:fill="FFFFFF"/>
          <w:lang w:val="en-ID"/>
        </w:rPr>
        <w:t xml:space="preserve"> </w:t>
      </w:r>
      <w:r w:rsidRPr="00C9290D">
        <w:rPr>
          <w:rFonts w:asciiTheme="majorHAnsi" w:hAnsiTheme="majorHAnsi" w:cstheme="majorHAnsi"/>
          <w:i/>
          <w:iCs/>
          <w:shd w:val="clear" w:color="auto" w:fill="FFFFFF"/>
          <w:lang w:val="en-ID"/>
        </w:rPr>
        <w:t xml:space="preserve">Sociology </w:t>
      </w:r>
      <w:proofErr w:type="spellStart"/>
      <w:r w:rsidRPr="00C9290D">
        <w:rPr>
          <w:rFonts w:asciiTheme="majorHAnsi" w:hAnsiTheme="majorHAnsi" w:cstheme="majorHAnsi"/>
          <w:i/>
          <w:iCs/>
          <w:shd w:val="clear" w:color="auto" w:fill="FFFFFF"/>
          <w:lang w:val="en-ID"/>
        </w:rPr>
        <w:t>Ruralis</w:t>
      </w:r>
      <w:proofErr w:type="spellEnd"/>
      <w:r w:rsidRPr="00C9290D">
        <w:rPr>
          <w:rFonts w:asciiTheme="majorHAnsi" w:hAnsiTheme="majorHAnsi" w:cstheme="majorHAnsi"/>
          <w:i/>
          <w:iCs/>
          <w:shd w:val="clear" w:color="auto" w:fill="FFFFFF"/>
          <w:lang w:val="en-ID"/>
        </w:rPr>
        <w:t>, 58</w:t>
      </w:r>
      <w:r w:rsidRPr="00C9290D">
        <w:rPr>
          <w:rFonts w:asciiTheme="majorHAnsi" w:hAnsiTheme="majorHAnsi" w:cstheme="majorHAnsi"/>
          <w:i/>
          <w:shd w:val="clear" w:color="auto" w:fill="FFFFFF"/>
          <w:lang w:val="en-ID"/>
        </w:rPr>
        <w:t>(2), 334–352.</w:t>
      </w:r>
    </w:p>
    <w:p w14:paraId="6215696D" w14:textId="77777777" w:rsidR="00C9290D" w:rsidRPr="00C9290D"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C9290D">
        <w:rPr>
          <w:rFonts w:asciiTheme="majorHAnsi" w:hAnsiTheme="majorHAnsi" w:cstheme="majorHAnsi"/>
          <w:iCs/>
          <w:shd w:val="clear" w:color="auto" w:fill="FFFFFF"/>
          <w:lang w:val="en-ID"/>
        </w:rPr>
        <w:t>Robertson, A., &amp; Diaz, M. (2023). Precision Farming: Maximizing Efficiency in Agricultural Practices</w:t>
      </w:r>
      <w:r w:rsidRPr="00C9290D">
        <w:rPr>
          <w:rFonts w:asciiTheme="majorHAnsi" w:hAnsiTheme="majorHAnsi" w:cstheme="majorHAnsi"/>
          <w:i/>
          <w:shd w:val="clear" w:color="auto" w:fill="FFFFFF"/>
          <w:lang w:val="en-ID"/>
        </w:rPr>
        <w:t xml:space="preserve">. </w:t>
      </w:r>
      <w:r w:rsidRPr="00C9290D">
        <w:rPr>
          <w:rFonts w:asciiTheme="majorHAnsi" w:hAnsiTheme="majorHAnsi" w:cstheme="majorHAnsi"/>
          <w:i/>
          <w:iCs/>
          <w:shd w:val="clear" w:color="auto" w:fill="FFFFFF"/>
          <w:lang w:val="en-ID"/>
        </w:rPr>
        <w:t>Journal of Agricultural Technology, 56</w:t>
      </w:r>
      <w:r w:rsidRPr="00C9290D">
        <w:rPr>
          <w:rFonts w:asciiTheme="majorHAnsi" w:hAnsiTheme="majorHAnsi" w:cstheme="majorHAnsi"/>
          <w:i/>
          <w:shd w:val="clear" w:color="auto" w:fill="FFFFFF"/>
          <w:lang w:val="en-ID"/>
        </w:rPr>
        <w:t>(1), 67-82.</w:t>
      </w:r>
    </w:p>
    <w:p w14:paraId="6A7A78A0" w14:textId="77777777" w:rsidR="00C9290D" w:rsidRPr="00094E49"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094E49">
        <w:rPr>
          <w:rFonts w:asciiTheme="majorHAnsi" w:hAnsiTheme="majorHAnsi" w:cstheme="majorHAnsi"/>
          <w:iCs/>
          <w:shd w:val="clear" w:color="auto" w:fill="FFFFFF"/>
          <w:lang w:val="en-ID"/>
        </w:rPr>
        <w:t>Smith, R., Johnson, M., Brown, A., &amp; Davis, S. (2021). Global Food Demand Projections for 2050.</w:t>
      </w:r>
      <w:r w:rsidRPr="00094E49">
        <w:rPr>
          <w:rFonts w:asciiTheme="majorHAnsi" w:hAnsiTheme="majorHAnsi" w:cstheme="majorHAnsi"/>
          <w:i/>
          <w:shd w:val="clear" w:color="auto" w:fill="FFFFFF"/>
          <w:lang w:val="en-ID"/>
        </w:rPr>
        <w:t xml:space="preserve"> </w:t>
      </w:r>
      <w:r w:rsidRPr="00094E49">
        <w:rPr>
          <w:rFonts w:asciiTheme="majorHAnsi" w:hAnsiTheme="majorHAnsi" w:cstheme="majorHAnsi"/>
          <w:i/>
          <w:iCs/>
          <w:shd w:val="clear" w:color="auto" w:fill="FFFFFF"/>
          <w:lang w:val="en-ID"/>
        </w:rPr>
        <w:t>Journal of Agricultural Economics, 43</w:t>
      </w:r>
      <w:r w:rsidRPr="00094E49">
        <w:rPr>
          <w:rFonts w:asciiTheme="majorHAnsi" w:hAnsiTheme="majorHAnsi" w:cstheme="majorHAnsi"/>
          <w:i/>
          <w:shd w:val="clear" w:color="auto" w:fill="FFFFFF"/>
          <w:lang w:val="en-ID"/>
        </w:rPr>
        <w:t>(4), 567-580.</w:t>
      </w:r>
    </w:p>
    <w:p w14:paraId="7EA15200" w14:textId="77777777" w:rsidR="00C9290D" w:rsidRPr="00C9290D"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C9290D">
        <w:rPr>
          <w:rFonts w:asciiTheme="majorHAnsi" w:hAnsiTheme="majorHAnsi" w:cstheme="majorHAnsi"/>
          <w:iCs/>
          <w:shd w:val="clear" w:color="auto" w:fill="FFFFFF"/>
          <w:lang w:val="en-ID"/>
        </w:rPr>
        <w:t>Wang, L., &amp; Li, Z. (2022). Agroforestry Systems: Enhancing Climate Resilience in Agriculture.</w:t>
      </w:r>
      <w:r w:rsidRPr="00C9290D">
        <w:rPr>
          <w:rFonts w:asciiTheme="majorHAnsi" w:hAnsiTheme="majorHAnsi" w:cstheme="majorHAnsi"/>
          <w:i/>
          <w:shd w:val="clear" w:color="auto" w:fill="FFFFFF"/>
          <w:lang w:val="en-ID"/>
        </w:rPr>
        <w:t xml:space="preserve"> </w:t>
      </w:r>
      <w:r w:rsidRPr="00C9290D">
        <w:rPr>
          <w:rFonts w:asciiTheme="majorHAnsi" w:hAnsiTheme="majorHAnsi" w:cstheme="majorHAnsi"/>
          <w:i/>
          <w:iCs/>
          <w:shd w:val="clear" w:color="auto" w:fill="FFFFFF"/>
          <w:lang w:val="en-ID"/>
        </w:rPr>
        <w:t>Journal of Environmental Management, 298</w:t>
      </w:r>
      <w:r w:rsidRPr="00C9290D">
        <w:rPr>
          <w:rFonts w:asciiTheme="majorHAnsi" w:hAnsiTheme="majorHAnsi" w:cstheme="majorHAnsi"/>
          <w:i/>
          <w:shd w:val="clear" w:color="auto" w:fill="FFFFFF"/>
          <w:lang w:val="en-ID"/>
        </w:rPr>
        <w:t>, 113486.</w:t>
      </w:r>
    </w:p>
    <w:p w14:paraId="0DD3B3BA" w14:textId="77777777" w:rsidR="00C9290D"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r w:rsidRPr="00094E49">
        <w:rPr>
          <w:rFonts w:asciiTheme="majorHAnsi" w:hAnsiTheme="majorHAnsi" w:cstheme="majorHAnsi"/>
          <w:iCs/>
          <w:shd w:val="clear" w:color="auto" w:fill="FFFFFF"/>
          <w:lang w:val="en-ID"/>
        </w:rPr>
        <w:t>WHO. (2022).</w:t>
      </w:r>
      <w:r w:rsidRPr="00094E49">
        <w:rPr>
          <w:rFonts w:asciiTheme="majorHAnsi" w:hAnsiTheme="majorHAnsi" w:cstheme="majorHAnsi"/>
          <w:i/>
          <w:shd w:val="clear" w:color="auto" w:fill="FFFFFF"/>
          <w:lang w:val="en-ID"/>
        </w:rPr>
        <w:t xml:space="preserve"> </w:t>
      </w:r>
      <w:r w:rsidRPr="00094E49">
        <w:rPr>
          <w:rFonts w:asciiTheme="majorHAnsi" w:hAnsiTheme="majorHAnsi" w:cstheme="majorHAnsi"/>
          <w:iCs/>
          <w:shd w:val="clear" w:color="auto" w:fill="FFFFFF"/>
          <w:lang w:val="en-ID"/>
        </w:rPr>
        <w:t>Shifting Dietary Patterns and Non-Communicable Diseases</w:t>
      </w:r>
      <w:r w:rsidRPr="00094E49">
        <w:rPr>
          <w:rFonts w:asciiTheme="majorHAnsi" w:hAnsiTheme="majorHAnsi" w:cstheme="majorHAnsi"/>
          <w:i/>
          <w:shd w:val="clear" w:color="auto" w:fill="FFFFFF"/>
          <w:lang w:val="en-ID"/>
        </w:rPr>
        <w:t xml:space="preserve">. World Health Organization. Retrieved from </w:t>
      </w:r>
      <w:hyperlink r:id="rId9" w:history="1">
        <w:r w:rsidRPr="00094E49">
          <w:rPr>
            <w:rStyle w:val="Hyperlink"/>
            <w:rFonts w:asciiTheme="majorHAnsi" w:hAnsiTheme="majorHAnsi" w:cstheme="majorHAnsi"/>
            <w:i/>
            <w:shd w:val="clear" w:color="auto" w:fill="FFFFFF"/>
            <w:lang w:val="en-ID"/>
          </w:rPr>
          <w:t>https://www.who.int/news-room/questions-and-answers/item/dietary-patterns</w:t>
        </w:r>
      </w:hyperlink>
      <w:r>
        <w:rPr>
          <w:rFonts w:asciiTheme="majorHAnsi" w:hAnsiTheme="majorHAnsi" w:cstheme="majorHAnsi"/>
          <w:i/>
          <w:shd w:val="clear" w:color="auto" w:fill="FFFFFF"/>
          <w:lang w:val="en-ID"/>
        </w:rPr>
        <w:t xml:space="preserve"> </w:t>
      </w:r>
    </w:p>
    <w:p w14:paraId="7036ED58" w14:textId="77777777" w:rsidR="00C9290D" w:rsidRPr="00DC7977" w:rsidRDefault="00C9290D" w:rsidP="007D58A7">
      <w:pPr>
        <w:pStyle w:val="NormalWeb"/>
        <w:shd w:val="clear" w:color="auto" w:fill="FFFFFF"/>
        <w:snapToGrid w:val="0"/>
        <w:spacing w:before="120" w:beforeAutospacing="0" w:after="120" w:afterAutospacing="0"/>
        <w:ind w:left="851" w:hanging="851"/>
        <w:jc w:val="both"/>
        <w:rPr>
          <w:rFonts w:asciiTheme="majorHAnsi" w:hAnsiTheme="majorHAnsi" w:cstheme="majorHAnsi"/>
          <w:i/>
          <w:shd w:val="clear" w:color="auto" w:fill="FFFFFF"/>
          <w:lang w:val="en-ID"/>
        </w:rPr>
      </w:pPr>
    </w:p>
    <w:sectPr w:rsidR="00C9290D" w:rsidRPr="00DC7977" w:rsidSect="007D58A7">
      <w:footerReference w:type="default" r:id="rId10"/>
      <w:pgSz w:w="11906" w:h="16838"/>
      <w:pgMar w:top="1440" w:right="1440" w:bottom="1440" w:left="1440" w:header="708" w:footer="432"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345D3" w14:textId="77777777" w:rsidR="00F824C1" w:rsidRDefault="00F824C1" w:rsidP="00581BF1">
      <w:pPr>
        <w:spacing w:after="0" w:line="240" w:lineRule="auto"/>
      </w:pPr>
      <w:r>
        <w:separator/>
      </w:r>
    </w:p>
  </w:endnote>
  <w:endnote w:type="continuationSeparator" w:id="0">
    <w:p w14:paraId="6961341A" w14:textId="77777777" w:rsidR="00F824C1" w:rsidRDefault="00F824C1" w:rsidP="0058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34256"/>
      <w:docPartObj>
        <w:docPartGallery w:val="Page Numbers (Bottom of Page)"/>
        <w:docPartUnique/>
      </w:docPartObj>
    </w:sdtPr>
    <w:sdtEndPr>
      <w:rPr>
        <w:noProof/>
      </w:rPr>
    </w:sdtEndPr>
    <w:sdtContent>
      <w:p w14:paraId="3F0F6659" w14:textId="4DD3FEC0" w:rsidR="00581BF1" w:rsidRDefault="00581BF1">
        <w:pPr>
          <w:pStyle w:val="Footer"/>
          <w:jc w:val="right"/>
        </w:pPr>
        <w:r w:rsidRPr="00581BF1">
          <w:rPr>
            <w:rFonts w:ascii="Times New Roman" w:hAnsi="Times New Roman" w:cs="Times New Roman"/>
            <w:noProof/>
            <w:sz w:val="28"/>
            <w:szCs w:val="24"/>
            <w:lang w:eastAsia="id-ID"/>
          </w:rPr>
          <mc:AlternateContent>
            <mc:Choice Requires="wps">
              <w:drawing>
                <wp:anchor distT="0" distB="0" distL="114300" distR="114300" simplePos="0" relativeHeight="251658752" behindDoc="0" locked="0" layoutInCell="1" allowOverlap="1" wp14:anchorId="6E9904FB" wp14:editId="189B8F50">
                  <wp:simplePos x="0" y="0"/>
                  <wp:positionH relativeFrom="column">
                    <wp:posOffset>0</wp:posOffset>
                  </wp:positionH>
                  <wp:positionV relativeFrom="paragraph">
                    <wp:posOffset>5715</wp:posOffset>
                  </wp:positionV>
                  <wp:extent cx="5495925" cy="2571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57175"/>
                          </a:xfrm>
                          <a:prstGeom prst="rect">
                            <a:avLst/>
                          </a:prstGeom>
                          <a:solidFill>
                            <a:srgbClr val="D9E2F3"/>
                          </a:solidFill>
                          <a:ln w="12700">
                            <a:solidFill>
                              <a:srgbClr val="375623"/>
                            </a:solidFill>
                            <a:miter lim="800000"/>
                            <a:headEnd/>
                            <a:tailEnd/>
                          </a:ln>
                          <a:effectLst/>
                          <a:extLst>
                            <a:ext uri="{AF507438-7753-43E0-B8FC-AC1667EBCBE1}">
                              <a14:hiddenEffects xmlns:a14="http://schemas.microsoft.com/office/drawing/2010/main">
                                <a:effectLst>
                                  <a:outerShdw dist="107763" dir="18900000" algn="ctr" rotWithShape="0">
                                    <a:srgbClr val="7F5F00">
                                      <a:alpha val="50000"/>
                                    </a:srgbClr>
                                  </a:outerShdw>
                                </a:effectLst>
                              </a14:hiddenEffects>
                            </a:ext>
                          </a:extLst>
                        </wps:spPr>
                        <wps:txbx>
                          <w:txbxContent>
                            <w:p w14:paraId="7F610671" w14:textId="6F389961" w:rsidR="00581BF1" w:rsidRDefault="00D277D6" w:rsidP="00E946CA">
                              <w:pPr>
                                <w:spacing w:after="0" w:line="240" w:lineRule="auto"/>
                                <w:rPr>
                                  <w:rFonts w:ascii="Calibri Light" w:hAnsi="Calibri Light" w:cs="Calibri Light"/>
                                </w:rPr>
                              </w:pPr>
                              <w:proofErr w:type="spellStart"/>
                              <w:r>
                                <w:rPr>
                                  <w:rFonts w:ascii="Calibri Light" w:hAnsi="Calibri Light" w:cs="Calibri Light"/>
                                </w:rPr>
                                <w:t>Copyright</w:t>
                              </w:r>
                              <w:proofErr w:type="spellEnd"/>
                              <w:r>
                                <w:rPr>
                                  <w:rFonts w:ascii="Calibri Light" w:hAnsi="Calibri Light" w:cs="Calibri Light"/>
                                </w:rPr>
                                <w:t xml:space="preserve"> © 202</w:t>
                              </w:r>
                              <w:r w:rsidR="007D58A7">
                                <w:rPr>
                                  <w:rFonts w:ascii="Calibri Light" w:hAnsi="Calibri Light" w:cs="Calibri Light"/>
                                  <w:lang w:val="en-US"/>
                                </w:rPr>
                                <w:t>3</w:t>
                              </w:r>
                              <w:r w:rsidR="00581BF1">
                                <w:rPr>
                                  <w:rFonts w:ascii="Calibri Light" w:hAnsi="Calibri Light" w:cs="Calibri Light"/>
                                </w:rPr>
                                <w:t xml:space="preserve">, </w:t>
                              </w:r>
                              <w:proofErr w:type="spellStart"/>
                              <w:r w:rsidR="00581BF1">
                                <w:rPr>
                                  <w:rFonts w:ascii="Calibri Light" w:hAnsi="Calibri Light" w:cs="Calibri Light"/>
                                </w:rPr>
                                <w:t>Journal</w:t>
                              </w:r>
                              <w:proofErr w:type="spellEnd"/>
                              <w:r w:rsidR="00581BF1">
                                <w:rPr>
                                  <w:rFonts w:ascii="Calibri Light" w:hAnsi="Calibri Light" w:cs="Calibri Light"/>
                                </w:rPr>
                                <w:t xml:space="preserve"> </w:t>
                              </w:r>
                              <w:proofErr w:type="spellStart"/>
                              <w:r w:rsidR="00581BF1">
                                <w:rPr>
                                  <w:rFonts w:ascii="Calibri Light" w:hAnsi="Calibri Light" w:cs="Calibri Light"/>
                                </w:rPr>
                                <w:t>Siplieria</w:t>
                              </w:r>
                              <w:proofErr w:type="spellEnd"/>
                              <w:r w:rsidR="00581BF1">
                                <w:rPr>
                                  <w:rFonts w:ascii="Calibri Light" w:hAnsi="Calibri Light" w:cs="Calibri Light"/>
                                </w:rPr>
                                <w:t xml:space="preserve"> </w:t>
                              </w:r>
                              <w:proofErr w:type="spellStart"/>
                              <w:r w:rsidR="00581BF1">
                                <w:rPr>
                                  <w:rFonts w:ascii="Calibri Light" w:hAnsi="Calibri Light" w:cs="Calibri Light"/>
                                </w:rPr>
                                <w:t>Sciences</w:t>
                              </w:r>
                              <w:proofErr w:type="spellEnd"/>
                              <w:r w:rsidR="00581BF1">
                                <w:rPr>
                                  <w:rFonts w:ascii="Calibri Light" w:hAnsi="Calibri Light" w:cs="Calibri Light"/>
                                </w:rPr>
                                <w:t>, Under the license CC BY-SA 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904FB" id="Rectangle 2" o:spid="_x0000_s1026" style="position:absolute;left:0;text-align:left;margin-left:0;margin-top:.45pt;width:432.7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" fillcolor="#d9e2f3" strokecolor="#375623" strokeweight="1pt">
                  <v:shadow color="#7f5f00" opacity=".5" offset="6pt,-6pt"/>
                  <v:textbox>
                    <w:txbxContent>
                      <w:p w14:paraId="7F610671" w14:textId="6F389961" w:rsidR="00581BF1" w:rsidRDefault="00D277D6" w:rsidP="00E946CA">
                        <w:pPr>
                          <w:spacing w:after="0" w:line="240" w:lineRule="auto"/>
                          <w:rPr>
                            <w:rFonts w:ascii="Calibri Light" w:hAnsi="Calibri Light" w:cs="Calibri Light"/>
                          </w:rPr>
                        </w:pPr>
                        <w:proofErr w:type="spellStart"/>
                        <w:r>
                          <w:rPr>
                            <w:rFonts w:ascii="Calibri Light" w:hAnsi="Calibri Light" w:cs="Calibri Light"/>
                          </w:rPr>
                          <w:t>Copyright</w:t>
                        </w:r>
                        <w:proofErr w:type="spellEnd"/>
                        <w:r>
                          <w:rPr>
                            <w:rFonts w:ascii="Calibri Light" w:hAnsi="Calibri Light" w:cs="Calibri Light"/>
                          </w:rPr>
                          <w:t xml:space="preserve"> © 202</w:t>
                        </w:r>
                        <w:r w:rsidR="007D58A7">
                          <w:rPr>
                            <w:rFonts w:ascii="Calibri Light" w:hAnsi="Calibri Light" w:cs="Calibri Light"/>
                            <w:lang w:val="en-US"/>
                          </w:rPr>
                          <w:t>3</w:t>
                        </w:r>
                        <w:r w:rsidR="00581BF1">
                          <w:rPr>
                            <w:rFonts w:ascii="Calibri Light" w:hAnsi="Calibri Light" w:cs="Calibri Light"/>
                          </w:rPr>
                          <w:t xml:space="preserve">, </w:t>
                        </w:r>
                        <w:proofErr w:type="spellStart"/>
                        <w:r w:rsidR="00581BF1">
                          <w:rPr>
                            <w:rFonts w:ascii="Calibri Light" w:hAnsi="Calibri Light" w:cs="Calibri Light"/>
                          </w:rPr>
                          <w:t>Journal</w:t>
                        </w:r>
                        <w:proofErr w:type="spellEnd"/>
                        <w:r w:rsidR="00581BF1">
                          <w:rPr>
                            <w:rFonts w:ascii="Calibri Light" w:hAnsi="Calibri Light" w:cs="Calibri Light"/>
                          </w:rPr>
                          <w:t xml:space="preserve"> </w:t>
                        </w:r>
                        <w:proofErr w:type="spellStart"/>
                        <w:r w:rsidR="00581BF1">
                          <w:rPr>
                            <w:rFonts w:ascii="Calibri Light" w:hAnsi="Calibri Light" w:cs="Calibri Light"/>
                          </w:rPr>
                          <w:t>Siplieria</w:t>
                        </w:r>
                        <w:proofErr w:type="spellEnd"/>
                        <w:r w:rsidR="00581BF1">
                          <w:rPr>
                            <w:rFonts w:ascii="Calibri Light" w:hAnsi="Calibri Light" w:cs="Calibri Light"/>
                          </w:rPr>
                          <w:t xml:space="preserve"> </w:t>
                        </w:r>
                        <w:proofErr w:type="spellStart"/>
                        <w:r w:rsidR="00581BF1">
                          <w:rPr>
                            <w:rFonts w:ascii="Calibri Light" w:hAnsi="Calibri Light" w:cs="Calibri Light"/>
                          </w:rPr>
                          <w:t>Sciences</w:t>
                        </w:r>
                        <w:proofErr w:type="spellEnd"/>
                        <w:r w:rsidR="00581BF1">
                          <w:rPr>
                            <w:rFonts w:ascii="Calibri Light" w:hAnsi="Calibri Light" w:cs="Calibri Light"/>
                          </w:rPr>
                          <w:t>, Under the license CC BY-SA 4.0</w:t>
                        </w:r>
                      </w:p>
                    </w:txbxContent>
                  </v:textbox>
                </v:rect>
              </w:pict>
            </mc:Fallback>
          </mc:AlternateContent>
        </w:r>
        <w:r w:rsidRPr="00581BF1">
          <w:rPr>
            <w:rFonts w:ascii="Times New Roman" w:hAnsi="Times New Roman" w:cs="Times New Roman"/>
            <w:sz w:val="24"/>
          </w:rPr>
          <w:fldChar w:fldCharType="begin"/>
        </w:r>
        <w:r w:rsidRPr="00581BF1">
          <w:rPr>
            <w:rFonts w:ascii="Times New Roman" w:hAnsi="Times New Roman" w:cs="Times New Roman"/>
            <w:sz w:val="24"/>
          </w:rPr>
          <w:instrText xml:space="preserve"> PAGE   \* MERGEFORMAT </w:instrText>
        </w:r>
        <w:r w:rsidRPr="00581BF1">
          <w:rPr>
            <w:rFonts w:ascii="Times New Roman" w:hAnsi="Times New Roman" w:cs="Times New Roman"/>
            <w:sz w:val="24"/>
          </w:rPr>
          <w:fldChar w:fldCharType="separate"/>
        </w:r>
        <w:r w:rsidR="00F65D14">
          <w:rPr>
            <w:rFonts w:ascii="Times New Roman" w:hAnsi="Times New Roman" w:cs="Times New Roman"/>
            <w:noProof/>
            <w:sz w:val="24"/>
          </w:rPr>
          <w:t>6</w:t>
        </w:r>
        <w:r w:rsidRPr="00581BF1">
          <w:rPr>
            <w:rFonts w:ascii="Times New Roman" w:hAnsi="Times New Roman" w:cs="Times New Roman"/>
            <w:noProof/>
            <w:sz w:val="24"/>
          </w:rPr>
          <w:fldChar w:fldCharType="end"/>
        </w:r>
      </w:p>
    </w:sdtContent>
  </w:sdt>
  <w:p w14:paraId="4B276F6F" w14:textId="6F69EDC8" w:rsidR="00581BF1" w:rsidRPr="00581BF1" w:rsidRDefault="00581BF1" w:rsidP="00581BF1">
    <w:pPr>
      <w:pStyle w:val="Footer"/>
      <w:tabs>
        <w:tab w:val="clear" w:pos="4680"/>
        <w:tab w:val="clear" w:pos="9360"/>
        <w:tab w:val="right" w:pos="9026"/>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F4D7" w14:textId="77777777" w:rsidR="00F824C1" w:rsidRDefault="00F824C1" w:rsidP="00581BF1">
      <w:pPr>
        <w:spacing w:after="0" w:line="240" w:lineRule="auto"/>
      </w:pPr>
      <w:r>
        <w:separator/>
      </w:r>
    </w:p>
  </w:footnote>
  <w:footnote w:type="continuationSeparator" w:id="0">
    <w:p w14:paraId="030DB770" w14:textId="77777777" w:rsidR="00F824C1" w:rsidRDefault="00F824C1" w:rsidP="00581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9C789E"/>
    <w:multiLevelType w:val="multilevel"/>
    <w:tmpl w:val="344CB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6543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tzQztjA0NzA1NTJU0lEKTi0uzszPAykwqgUAVdP4CiwAAAA="/>
  </w:docVars>
  <w:rsids>
    <w:rsidRoot w:val="0039049B"/>
    <w:rsid w:val="00030026"/>
    <w:rsid w:val="00094E49"/>
    <w:rsid w:val="000C2844"/>
    <w:rsid w:val="000D0DB6"/>
    <w:rsid w:val="000D3A48"/>
    <w:rsid w:val="00103E6C"/>
    <w:rsid w:val="001175AB"/>
    <w:rsid w:val="001402DC"/>
    <w:rsid w:val="00160207"/>
    <w:rsid w:val="001D73E0"/>
    <w:rsid w:val="00200FE8"/>
    <w:rsid w:val="00230A06"/>
    <w:rsid w:val="0025019B"/>
    <w:rsid w:val="002B12A0"/>
    <w:rsid w:val="002D64CF"/>
    <w:rsid w:val="002F791F"/>
    <w:rsid w:val="003332AA"/>
    <w:rsid w:val="00357EC3"/>
    <w:rsid w:val="0039049B"/>
    <w:rsid w:val="003C6D72"/>
    <w:rsid w:val="003E273E"/>
    <w:rsid w:val="00483A74"/>
    <w:rsid w:val="00496133"/>
    <w:rsid w:val="004C41EB"/>
    <w:rsid w:val="00574144"/>
    <w:rsid w:val="00581BF1"/>
    <w:rsid w:val="005E2A81"/>
    <w:rsid w:val="005F6C1F"/>
    <w:rsid w:val="00622C0C"/>
    <w:rsid w:val="006C7522"/>
    <w:rsid w:val="006E57A3"/>
    <w:rsid w:val="0072024C"/>
    <w:rsid w:val="007424D6"/>
    <w:rsid w:val="00774551"/>
    <w:rsid w:val="007763A1"/>
    <w:rsid w:val="00780903"/>
    <w:rsid w:val="007D58A7"/>
    <w:rsid w:val="00902933"/>
    <w:rsid w:val="009603E6"/>
    <w:rsid w:val="009B3417"/>
    <w:rsid w:val="009F6F48"/>
    <w:rsid w:val="00A5061C"/>
    <w:rsid w:val="00A56EDC"/>
    <w:rsid w:val="00A67B11"/>
    <w:rsid w:val="00A8004A"/>
    <w:rsid w:val="00AB1D96"/>
    <w:rsid w:val="00B063A0"/>
    <w:rsid w:val="00B55611"/>
    <w:rsid w:val="00BC1DF9"/>
    <w:rsid w:val="00BF1B6D"/>
    <w:rsid w:val="00C653EE"/>
    <w:rsid w:val="00C83615"/>
    <w:rsid w:val="00C9290D"/>
    <w:rsid w:val="00CD3E78"/>
    <w:rsid w:val="00D277D6"/>
    <w:rsid w:val="00D548F6"/>
    <w:rsid w:val="00D93999"/>
    <w:rsid w:val="00DB714C"/>
    <w:rsid w:val="00DC6D3A"/>
    <w:rsid w:val="00DC7977"/>
    <w:rsid w:val="00E25A61"/>
    <w:rsid w:val="00E60F29"/>
    <w:rsid w:val="00E63631"/>
    <w:rsid w:val="00E755CE"/>
    <w:rsid w:val="00E81F24"/>
    <w:rsid w:val="00E946CA"/>
    <w:rsid w:val="00EC77F6"/>
    <w:rsid w:val="00ED1902"/>
    <w:rsid w:val="00F60360"/>
    <w:rsid w:val="00F65D14"/>
    <w:rsid w:val="00F824C1"/>
    <w:rsid w:val="00FB12B2"/>
    <w:rsid w:val="00FC1D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CC0C5"/>
  <w15:docId w15:val="{09B2911B-689C-4DAF-BFDF-1691D48B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94E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49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581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BF1"/>
  </w:style>
  <w:style w:type="paragraph" w:styleId="Footer">
    <w:name w:val="footer"/>
    <w:basedOn w:val="Normal"/>
    <w:link w:val="FooterChar"/>
    <w:uiPriority w:val="99"/>
    <w:unhideWhenUsed/>
    <w:rsid w:val="00581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BF1"/>
  </w:style>
  <w:style w:type="character" w:styleId="Hyperlink">
    <w:name w:val="Hyperlink"/>
    <w:basedOn w:val="DefaultParagraphFont"/>
    <w:uiPriority w:val="99"/>
    <w:unhideWhenUsed/>
    <w:rsid w:val="003E273E"/>
    <w:rPr>
      <w:color w:val="0000FF"/>
      <w:u w:val="single"/>
    </w:rPr>
  </w:style>
  <w:style w:type="character" w:styleId="UnresolvedMention">
    <w:name w:val="Unresolved Mention"/>
    <w:basedOn w:val="DefaultParagraphFont"/>
    <w:uiPriority w:val="99"/>
    <w:semiHidden/>
    <w:unhideWhenUsed/>
    <w:rsid w:val="00094E49"/>
    <w:rPr>
      <w:color w:val="605E5C"/>
      <w:shd w:val="clear" w:color="auto" w:fill="E1DFDD"/>
    </w:rPr>
  </w:style>
  <w:style w:type="character" w:customStyle="1" w:styleId="Heading3Char">
    <w:name w:val="Heading 3 Char"/>
    <w:basedOn w:val="DefaultParagraphFont"/>
    <w:link w:val="Heading3"/>
    <w:uiPriority w:val="9"/>
    <w:semiHidden/>
    <w:rsid w:val="00094E4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094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9124">
      <w:bodyDiv w:val="1"/>
      <w:marLeft w:val="0"/>
      <w:marRight w:val="0"/>
      <w:marTop w:val="0"/>
      <w:marBottom w:val="0"/>
      <w:divBdr>
        <w:top w:val="none" w:sz="0" w:space="0" w:color="auto"/>
        <w:left w:val="none" w:sz="0" w:space="0" w:color="auto"/>
        <w:bottom w:val="none" w:sz="0" w:space="0" w:color="auto"/>
        <w:right w:val="none" w:sz="0" w:space="0" w:color="auto"/>
      </w:divBdr>
    </w:div>
    <w:div w:id="186335360">
      <w:bodyDiv w:val="1"/>
      <w:marLeft w:val="0"/>
      <w:marRight w:val="0"/>
      <w:marTop w:val="0"/>
      <w:marBottom w:val="0"/>
      <w:divBdr>
        <w:top w:val="none" w:sz="0" w:space="0" w:color="auto"/>
        <w:left w:val="none" w:sz="0" w:space="0" w:color="auto"/>
        <w:bottom w:val="none" w:sz="0" w:space="0" w:color="auto"/>
        <w:right w:val="none" w:sz="0" w:space="0" w:color="auto"/>
      </w:divBdr>
    </w:div>
    <w:div w:id="956182634">
      <w:bodyDiv w:val="1"/>
      <w:marLeft w:val="0"/>
      <w:marRight w:val="0"/>
      <w:marTop w:val="0"/>
      <w:marBottom w:val="0"/>
      <w:divBdr>
        <w:top w:val="none" w:sz="0" w:space="0" w:color="auto"/>
        <w:left w:val="none" w:sz="0" w:space="0" w:color="auto"/>
        <w:bottom w:val="none" w:sz="0" w:space="0" w:color="auto"/>
        <w:right w:val="none" w:sz="0" w:space="0" w:color="auto"/>
      </w:divBdr>
    </w:div>
    <w:div w:id="989601767">
      <w:bodyDiv w:val="1"/>
      <w:marLeft w:val="0"/>
      <w:marRight w:val="0"/>
      <w:marTop w:val="0"/>
      <w:marBottom w:val="0"/>
      <w:divBdr>
        <w:top w:val="none" w:sz="0" w:space="0" w:color="auto"/>
        <w:left w:val="none" w:sz="0" w:space="0" w:color="auto"/>
        <w:bottom w:val="none" w:sz="0" w:space="0" w:color="auto"/>
        <w:right w:val="none" w:sz="0" w:space="0" w:color="auto"/>
      </w:divBdr>
    </w:div>
    <w:div w:id="1002201055">
      <w:bodyDiv w:val="1"/>
      <w:marLeft w:val="0"/>
      <w:marRight w:val="0"/>
      <w:marTop w:val="0"/>
      <w:marBottom w:val="0"/>
      <w:divBdr>
        <w:top w:val="none" w:sz="0" w:space="0" w:color="auto"/>
        <w:left w:val="none" w:sz="0" w:space="0" w:color="auto"/>
        <w:bottom w:val="none" w:sz="0" w:space="0" w:color="auto"/>
        <w:right w:val="none" w:sz="0" w:space="0" w:color="auto"/>
      </w:divBdr>
    </w:div>
    <w:div w:id="1320883686">
      <w:bodyDiv w:val="1"/>
      <w:marLeft w:val="0"/>
      <w:marRight w:val="0"/>
      <w:marTop w:val="0"/>
      <w:marBottom w:val="0"/>
      <w:divBdr>
        <w:top w:val="none" w:sz="0" w:space="0" w:color="auto"/>
        <w:left w:val="none" w:sz="0" w:space="0" w:color="auto"/>
        <w:bottom w:val="none" w:sz="0" w:space="0" w:color="auto"/>
        <w:right w:val="none" w:sz="0" w:space="0" w:color="auto"/>
      </w:divBdr>
    </w:div>
    <w:div w:id="1321735660">
      <w:bodyDiv w:val="1"/>
      <w:marLeft w:val="0"/>
      <w:marRight w:val="0"/>
      <w:marTop w:val="0"/>
      <w:marBottom w:val="0"/>
      <w:divBdr>
        <w:top w:val="none" w:sz="0" w:space="0" w:color="auto"/>
        <w:left w:val="none" w:sz="0" w:space="0" w:color="auto"/>
        <w:bottom w:val="none" w:sz="0" w:space="0" w:color="auto"/>
        <w:right w:val="none" w:sz="0" w:space="0" w:color="auto"/>
      </w:divBdr>
    </w:div>
    <w:div w:id="1415709497">
      <w:bodyDiv w:val="1"/>
      <w:marLeft w:val="0"/>
      <w:marRight w:val="0"/>
      <w:marTop w:val="0"/>
      <w:marBottom w:val="0"/>
      <w:divBdr>
        <w:top w:val="none" w:sz="0" w:space="0" w:color="auto"/>
        <w:left w:val="none" w:sz="0" w:space="0" w:color="auto"/>
        <w:bottom w:val="none" w:sz="0" w:space="0" w:color="auto"/>
        <w:right w:val="none" w:sz="0" w:space="0" w:color="auto"/>
      </w:divBdr>
    </w:div>
    <w:div w:id="1478954175">
      <w:bodyDiv w:val="1"/>
      <w:marLeft w:val="0"/>
      <w:marRight w:val="0"/>
      <w:marTop w:val="0"/>
      <w:marBottom w:val="0"/>
      <w:divBdr>
        <w:top w:val="none" w:sz="0" w:space="0" w:color="auto"/>
        <w:left w:val="none" w:sz="0" w:space="0" w:color="auto"/>
        <w:bottom w:val="none" w:sz="0" w:space="0" w:color="auto"/>
        <w:right w:val="none" w:sz="0" w:space="0" w:color="auto"/>
      </w:divBdr>
      <w:divsChild>
        <w:div w:id="2053269033">
          <w:marLeft w:val="0"/>
          <w:marRight w:val="0"/>
          <w:marTop w:val="0"/>
          <w:marBottom w:val="0"/>
          <w:divBdr>
            <w:top w:val="none" w:sz="0" w:space="0" w:color="auto"/>
            <w:left w:val="none" w:sz="0" w:space="0" w:color="auto"/>
            <w:bottom w:val="none" w:sz="0" w:space="0" w:color="auto"/>
            <w:right w:val="none" w:sz="0" w:space="0" w:color="auto"/>
          </w:divBdr>
          <w:divsChild>
            <w:div w:id="355930683">
              <w:marLeft w:val="0"/>
              <w:marRight w:val="0"/>
              <w:marTop w:val="0"/>
              <w:marBottom w:val="0"/>
              <w:divBdr>
                <w:top w:val="none" w:sz="0" w:space="0" w:color="auto"/>
                <w:left w:val="none" w:sz="0" w:space="0" w:color="auto"/>
                <w:bottom w:val="none" w:sz="0" w:space="0" w:color="auto"/>
                <w:right w:val="none" w:sz="0" w:space="0" w:color="auto"/>
              </w:divBdr>
              <w:divsChild>
                <w:div w:id="10206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1125">
      <w:bodyDiv w:val="1"/>
      <w:marLeft w:val="0"/>
      <w:marRight w:val="0"/>
      <w:marTop w:val="0"/>
      <w:marBottom w:val="0"/>
      <w:divBdr>
        <w:top w:val="none" w:sz="0" w:space="0" w:color="auto"/>
        <w:left w:val="none" w:sz="0" w:space="0" w:color="auto"/>
        <w:bottom w:val="none" w:sz="0" w:space="0" w:color="auto"/>
        <w:right w:val="none" w:sz="0" w:space="0" w:color="auto"/>
      </w:divBdr>
    </w:div>
    <w:div w:id="1543060029">
      <w:bodyDiv w:val="1"/>
      <w:marLeft w:val="0"/>
      <w:marRight w:val="0"/>
      <w:marTop w:val="0"/>
      <w:marBottom w:val="0"/>
      <w:divBdr>
        <w:top w:val="none" w:sz="0" w:space="0" w:color="auto"/>
        <w:left w:val="none" w:sz="0" w:space="0" w:color="auto"/>
        <w:bottom w:val="none" w:sz="0" w:space="0" w:color="auto"/>
        <w:right w:val="none" w:sz="0" w:space="0" w:color="auto"/>
      </w:divBdr>
    </w:div>
    <w:div w:id="1582331870">
      <w:bodyDiv w:val="1"/>
      <w:marLeft w:val="0"/>
      <w:marRight w:val="0"/>
      <w:marTop w:val="0"/>
      <w:marBottom w:val="0"/>
      <w:divBdr>
        <w:top w:val="none" w:sz="0" w:space="0" w:color="auto"/>
        <w:left w:val="none" w:sz="0" w:space="0" w:color="auto"/>
        <w:bottom w:val="none" w:sz="0" w:space="0" w:color="auto"/>
        <w:right w:val="none" w:sz="0" w:space="0" w:color="auto"/>
      </w:divBdr>
      <w:divsChild>
        <w:div w:id="1516991455">
          <w:marLeft w:val="0"/>
          <w:marRight w:val="0"/>
          <w:marTop w:val="0"/>
          <w:marBottom w:val="0"/>
          <w:divBdr>
            <w:top w:val="none" w:sz="0" w:space="0" w:color="auto"/>
            <w:left w:val="none" w:sz="0" w:space="0" w:color="auto"/>
            <w:bottom w:val="none" w:sz="0" w:space="0" w:color="auto"/>
            <w:right w:val="none" w:sz="0" w:space="0" w:color="auto"/>
          </w:divBdr>
          <w:divsChild>
            <w:div w:id="337199995">
              <w:marLeft w:val="0"/>
              <w:marRight w:val="0"/>
              <w:marTop w:val="0"/>
              <w:marBottom w:val="0"/>
              <w:divBdr>
                <w:top w:val="none" w:sz="0" w:space="0" w:color="auto"/>
                <w:left w:val="none" w:sz="0" w:space="0" w:color="auto"/>
                <w:bottom w:val="none" w:sz="0" w:space="0" w:color="auto"/>
                <w:right w:val="none" w:sz="0" w:space="0" w:color="auto"/>
              </w:divBdr>
              <w:divsChild>
                <w:div w:id="190632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01011">
      <w:bodyDiv w:val="1"/>
      <w:marLeft w:val="0"/>
      <w:marRight w:val="0"/>
      <w:marTop w:val="0"/>
      <w:marBottom w:val="0"/>
      <w:divBdr>
        <w:top w:val="none" w:sz="0" w:space="0" w:color="auto"/>
        <w:left w:val="none" w:sz="0" w:space="0" w:color="auto"/>
        <w:bottom w:val="none" w:sz="0" w:space="0" w:color="auto"/>
        <w:right w:val="none" w:sz="0" w:space="0" w:color="auto"/>
      </w:divBdr>
    </w:div>
    <w:div w:id="1698384369">
      <w:bodyDiv w:val="1"/>
      <w:marLeft w:val="0"/>
      <w:marRight w:val="0"/>
      <w:marTop w:val="0"/>
      <w:marBottom w:val="0"/>
      <w:divBdr>
        <w:top w:val="none" w:sz="0" w:space="0" w:color="auto"/>
        <w:left w:val="none" w:sz="0" w:space="0" w:color="auto"/>
        <w:bottom w:val="none" w:sz="0" w:space="0" w:color="auto"/>
        <w:right w:val="none" w:sz="0" w:space="0" w:color="auto"/>
      </w:divBdr>
      <w:divsChild>
        <w:div w:id="1969824083">
          <w:marLeft w:val="0"/>
          <w:marRight w:val="0"/>
          <w:marTop w:val="0"/>
          <w:marBottom w:val="0"/>
          <w:divBdr>
            <w:top w:val="none" w:sz="0" w:space="0" w:color="auto"/>
            <w:left w:val="none" w:sz="0" w:space="0" w:color="auto"/>
            <w:bottom w:val="none" w:sz="0" w:space="0" w:color="auto"/>
            <w:right w:val="none" w:sz="0" w:space="0" w:color="auto"/>
          </w:divBdr>
          <w:divsChild>
            <w:div w:id="377751726">
              <w:marLeft w:val="0"/>
              <w:marRight w:val="0"/>
              <w:marTop w:val="0"/>
              <w:marBottom w:val="0"/>
              <w:divBdr>
                <w:top w:val="none" w:sz="0" w:space="0" w:color="auto"/>
                <w:left w:val="none" w:sz="0" w:space="0" w:color="auto"/>
                <w:bottom w:val="none" w:sz="0" w:space="0" w:color="auto"/>
                <w:right w:val="none" w:sz="0" w:space="0" w:color="auto"/>
              </w:divBdr>
              <w:divsChild>
                <w:div w:id="7733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1306">
          <w:marLeft w:val="0"/>
          <w:marRight w:val="0"/>
          <w:marTop w:val="0"/>
          <w:marBottom w:val="0"/>
          <w:divBdr>
            <w:top w:val="none" w:sz="0" w:space="0" w:color="auto"/>
            <w:left w:val="none" w:sz="0" w:space="0" w:color="auto"/>
            <w:bottom w:val="none" w:sz="0" w:space="0" w:color="auto"/>
            <w:right w:val="none" w:sz="0" w:space="0" w:color="auto"/>
          </w:divBdr>
          <w:divsChild>
            <w:div w:id="1621834148">
              <w:marLeft w:val="0"/>
              <w:marRight w:val="0"/>
              <w:marTop w:val="0"/>
              <w:marBottom w:val="0"/>
              <w:divBdr>
                <w:top w:val="none" w:sz="0" w:space="0" w:color="auto"/>
                <w:left w:val="none" w:sz="0" w:space="0" w:color="auto"/>
                <w:bottom w:val="none" w:sz="0" w:space="0" w:color="auto"/>
                <w:right w:val="none" w:sz="0" w:space="0" w:color="auto"/>
              </w:divBdr>
              <w:divsChild>
                <w:div w:id="737165796">
                  <w:marLeft w:val="0"/>
                  <w:marRight w:val="0"/>
                  <w:marTop w:val="0"/>
                  <w:marBottom w:val="0"/>
                  <w:divBdr>
                    <w:top w:val="none" w:sz="0" w:space="0" w:color="auto"/>
                    <w:left w:val="none" w:sz="0" w:space="0" w:color="auto"/>
                    <w:bottom w:val="none" w:sz="0" w:space="0" w:color="auto"/>
                    <w:right w:val="none" w:sz="0" w:space="0" w:color="auto"/>
                  </w:divBdr>
                  <w:divsChild>
                    <w:div w:id="30351276">
                      <w:marLeft w:val="0"/>
                      <w:marRight w:val="0"/>
                      <w:marTop w:val="0"/>
                      <w:marBottom w:val="0"/>
                      <w:divBdr>
                        <w:top w:val="none" w:sz="0" w:space="0" w:color="auto"/>
                        <w:left w:val="none" w:sz="0" w:space="0" w:color="auto"/>
                        <w:bottom w:val="none" w:sz="0" w:space="0" w:color="auto"/>
                        <w:right w:val="none" w:sz="0" w:space="0" w:color="auto"/>
                      </w:divBdr>
                      <w:divsChild>
                        <w:div w:id="134027980">
                          <w:marLeft w:val="0"/>
                          <w:marRight w:val="0"/>
                          <w:marTop w:val="0"/>
                          <w:marBottom w:val="0"/>
                          <w:divBdr>
                            <w:top w:val="none" w:sz="0" w:space="0" w:color="auto"/>
                            <w:left w:val="none" w:sz="0" w:space="0" w:color="auto"/>
                            <w:bottom w:val="none" w:sz="0" w:space="0" w:color="auto"/>
                            <w:right w:val="none" w:sz="0" w:space="0" w:color="auto"/>
                          </w:divBdr>
                          <w:divsChild>
                            <w:div w:id="83959520">
                              <w:marLeft w:val="0"/>
                              <w:marRight w:val="0"/>
                              <w:marTop w:val="0"/>
                              <w:marBottom w:val="0"/>
                              <w:divBdr>
                                <w:top w:val="none" w:sz="0" w:space="0" w:color="auto"/>
                                <w:left w:val="none" w:sz="0" w:space="0" w:color="auto"/>
                                <w:bottom w:val="none" w:sz="0" w:space="0" w:color="auto"/>
                                <w:right w:val="none" w:sz="0" w:space="0" w:color="auto"/>
                              </w:divBdr>
                              <w:divsChild>
                                <w:div w:id="18464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44355">
          <w:marLeft w:val="0"/>
          <w:marRight w:val="0"/>
          <w:marTop w:val="0"/>
          <w:marBottom w:val="0"/>
          <w:divBdr>
            <w:top w:val="none" w:sz="0" w:space="0" w:color="auto"/>
            <w:left w:val="none" w:sz="0" w:space="0" w:color="auto"/>
            <w:bottom w:val="none" w:sz="0" w:space="0" w:color="auto"/>
            <w:right w:val="none" w:sz="0" w:space="0" w:color="auto"/>
          </w:divBdr>
          <w:divsChild>
            <w:div w:id="1222978660">
              <w:marLeft w:val="0"/>
              <w:marRight w:val="0"/>
              <w:marTop w:val="0"/>
              <w:marBottom w:val="0"/>
              <w:divBdr>
                <w:top w:val="none" w:sz="0" w:space="0" w:color="auto"/>
                <w:left w:val="none" w:sz="0" w:space="0" w:color="auto"/>
                <w:bottom w:val="none" w:sz="0" w:space="0" w:color="auto"/>
                <w:right w:val="none" w:sz="0" w:space="0" w:color="auto"/>
              </w:divBdr>
              <w:divsChild>
                <w:div w:id="1072586647">
                  <w:marLeft w:val="0"/>
                  <w:marRight w:val="0"/>
                  <w:marTop w:val="0"/>
                  <w:marBottom w:val="0"/>
                  <w:divBdr>
                    <w:top w:val="none" w:sz="0" w:space="0" w:color="auto"/>
                    <w:left w:val="none" w:sz="0" w:space="0" w:color="auto"/>
                    <w:bottom w:val="none" w:sz="0" w:space="0" w:color="auto"/>
                    <w:right w:val="none" w:sz="0" w:space="0" w:color="auto"/>
                  </w:divBdr>
                  <w:divsChild>
                    <w:div w:id="96312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4393">
          <w:marLeft w:val="0"/>
          <w:marRight w:val="0"/>
          <w:marTop w:val="0"/>
          <w:marBottom w:val="0"/>
          <w:divBdr>
            <w:top w:val="none" w:sz="0" w:space="0" w:color="auto"/>
            <w:left w:val="none" w:sz="0" w:space="0" w:color="auto"/>
            <w:bottom w:val="none" w:sz="0" w:space="0" w:color="auto"/>
            <w:right w:val="none" w:sz="0" w:space="0" w:color="auto"/>
          </w:divBdr>
          <w:divsChild>
            <w:div w:id="2007977876">
              <w:marLeft w:val="0"/>
              <w:marRight w:val="0"/>
              <w:marTop w:val="0"/>
              <w:marBottom w:val="0"/>
              <w:divBdr>
                <w:top w:val="none" w:sz="0" w:space="0" w:color="auto"/>
                <w:left w:val="none" w:sz="0" w:space="0" w:color="auto"/>
                <w:bottom w:val="none" w:sz="0" w:space="0" w:color="auto"/>
                <w:right w:val="none" w:sz="0" w:space="0" w:color="auto"/>
              </w:divBdr>
              <w:divsChild>
                <w:div w:id="615793465">
                  <w:marLeft w:val="0"/>
                  <w:marRight w:val="0"/>
                  <w:marTop w:val="0"/>
                  <w:marBottom w:val="0"/>
                  <w:divBdr>
                    <w:top w:val="none" w:sz="0" w:space="0" w:color="auto"/>
                    <w:left w:val="none" w:sz="0" w:space="0" w:color="auto"/>
                    <w:bottom w:val="none" w:sz="0" w:space="0" w:color="auto"/>
                    <w:right w:val="none" w:sz="0" w:space="0" w:color="auto"/>
                  </w:divBdr>
                  <w:divsChild>
                    <w:div w:id="433331186">
                      <w:marLeft w:val="0"/>
                      <w:marRight w:val="0"/>
                      <w:marTop w:val="0"/>
                      <w:marBottom w:val="0"/>
                      <w:divBdr>
                        <w:top w:val="none" w:sz="0" w:space="0" w:color="auto"/>
                        <w:left w:val="none" w:sz="0" w:space="0" w:color="auto"/>
                        <w:bottom w:val="none" w:sz="0" w:space="0" w:color="auto"/>
                        <w:right w:val="none" w:sz="0" w:space="0" w:color="auto"/>
                      </w:divBdr>
                      <w:divsChild>
                        <w:div w:id="1569076175">
                          <w:marLeft w:val="0"/>
                          <w:marRight w:val="0"/>
                          <w:marTop w:val="0"/>
                          <w:marBottom w:val="0"/>
                          <w:divBdr>
                            <w:top w:val="none" w:sz="0" w:space="0" w:color="auto"/>
                            <w:left w:val="none" w:sz="0" w:space="0" w:color="auto"/>
                            <w:bottom w:val="none" w:sz="0" w:space="0" w:color="auto"/>
                            <w:right w:val="none" w:sz="0" w:space="0" w:color="auto"/>
                          </w:divBdr>
                          <w:divsChild>
                            <w:div w:id="1763791480">
                              <w:marLeft w:val="0"/>
                              <w:marRight w:val="0"/>
                              <w:marTop w:val="0"/>
                              <w:marBottom w:val="0"/>
                              <w:divBdr>
                                <w:top w:val="none" w:sz="0" w:space="0" w:color="auto"/>
                                <w:left w:val="none" w:sz="0" w:space="0" w:color="auto"/>
                                <w:bottom w:val="none" w:sz="0" w:space="0" w:color="auto"/>
                                <w:right w:val="none" w:sz="0" w:space="0" w:color="auto"/>
                              </w:divBdr>
                              <w:divsChild>
                                <w:div w:id="468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366683">
          <w:marLeft w:val="0"/>
          <w:marRight w:val="0"/>
          <w:marTop w:val="0"/>
          <w:marBottom w:val="0"/>
          <w:divBdr>
            <w:top w:val="none" w:sz="0" w:space="0" w:color="auto"/>
            <w:left w:val="none" w:sz="0" w:space="0" w:color="auto"/>
            <w:bottom w:val="none" w:sz="0" w:space="0" w:color="auto"/>
            <w:right w:val="none" w:sz="0" w:space="0" w:color="auto"/>
          </w:divBdr>
          <w:divsChild>
            <w:div w:id="687944702">
              <w:marLeft w:val="0"/>
              <w:marRight w:val="0"/>
              <w:marTop w:val="0"/>
              <w:marBottom w:val="0"/>
              <w:divBdr>
                <w:top w:val="none" w:sz="0" w:space="0" w:color="auto"/>
                <w:left w:val="none" w:sz="0" w:space="0" w:color="auto"/>
                <w:bottom w:val="none" w:sz="0" w:space="0" w:color="auto"/>
                <w:right w:val="none" w:sz="0" w:space="0" w:color="auto"/>
              </w:divBdr>
              <w:divsChild>
                <w:div w:id="40029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98674">
          <w:marLeft w:val="0"/>
          <w:marRight w:val="0"/>
          <w:marTop w:val="0"/>
          <w:marBottom w:val="0"/>
          <w:divBdr>
            <w:top w:val="none" w:sz="0" w:space="0" w:color="auto"/>
            <w:left w:val="none" w:sz="0" w:space="0" w:color="auto"/>
            <w:bottom w:val="none" w:sz="0" w:space="0" w:color="auto"/>
            <w:right w:val="none" w:sz="0" w:space="0" w:color="auto"/>
          </w:divBdr>
          <w:divsChild>
            <w:div w:id="1360858381">
              <w:marLeft w:val="0"/>
              <w:marRight w:val="0"/>
              <w:marTop w:val="0"/>
              <w:marBottom w:val="0"/>
              <w:divBdr>
                <w:top w:val="none" w:sz="0" w:space="0" w:color="auto"/>
                <w:left w:val="none" w:sz="0" w:space="0" w:color="auto"/>
                <w:bottom w:val="none" w:sz="0" w:space="0" w:color="auto"/>
                <w:right w:val="none" w:sz="0" w:space="0" w:color="auto"/>
              </w:divBdr>
              <w:divsChild>
                <w:div w:id="758021681">
                  <w:marLeft w:val="0"/>
                  <w:marRight w:val="0"/>
                  <w:marTop w:val="0"/>
                  <w:marBottom w:val="0"/>
                  <w:divBdr>
                    <w:top w:val="none" w:sz="0" w:space="0" w:color="auto"/>
                    <w:left w:val="none" w:sz="0" w:space="0" w:color="auto"/>
                    <w:bottom w:val="none" w:sz="0" w:space="0" w:color="auto"/>
                    <w:right w:val="none" w:sz="0" w:space="0" w:color="auto"/>
                  </w:divBdr>
                  <w:divsChild>
                    <w:div w:id="1331251623">
                      <w:marLeft w:val="0"/>
                      <w:marRight w:val="0"/>
                      <w:marTop w:val="0"/>
                      <w:marBottom w:val="0"/>
                      <w:divBdr>
                        <w:top w:val="none" w:sz="0" w:space="0" w:color="auto"/>
                        <w:left w:val="none" w:sz="0" w:space="0" w:color="auto"/>
                        <w:bottom w:val="none" w:sz="0" w:space="0" w:color="auto"/>
                        <w:right w:val="none" w:sz="0" w:space="0" w:color="auto"/>
                      </w:divBdr>
                      <w:divsChild>
                        <w:div w:id="922422348">
                          <w:marLeft w:val="0"/>
                          <w:marRight w:val="0"/>
                          <w:marTop w:val="0"/>
                          <w:marBottom w:val="0"/>
                          <w:divBdr>
                            <w:top w:val="none" w:sz="0" w:space="0" w:color="auto"/>
                            <w:left w:val="none" w:sz="0" w:space="0" w:color="auto"/>
                            <w:bottom w:val="none" w:sz="0" w:space="0" w:color="auto"/>
                            <w:right w:val="none" w:sz="0" w:space="0" w:color="auto"/>
                          </w:divBdr>
                          <w:divsChild>
                            <w:div w:id="1956330121">
                              <w:marLeft w:val="0"/>
                              <w:marRight w:val="0"/>
                              <w:marTop w:val="0"/>
                              <w:marBottom w:val="0"/>
                              <w:divBdr>
                                <w:top w:val="none" w:sz="0" w:space="0" w:color="auto"/>
                                <w:left w:val="none" w:sz="0" w:space="0" w:color="auto"/>
                                <w:bottom w:val="none" w:sz="0" w:space="0" w:color="auto"/>
                                <w:right w:val="none" w:sz="0" w:space="0" w:color="auto"/>
                              </w:divBdr>
                              <w:divsChild>
                                <w:div w:id="19283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89439">
          <w:marLeft w:val="0"/>
          <w:marRight w:val="0"/>
          <w:marTop w:val="0"/>
          <w:marBottom w:val="0"/>
          <w:divBdr>
            <w:top w:val="none" w:sz="0" w:space="0" w:color="auto"/>
            <w:left w:val="none" w:sz="0" w:space="0" w:color="auto"/>
            <w:bottom w:val="none" w:sz="0" w:space="0" w:color="auto"/>
            <w:right w:val="none" w:sz="0" w:space="0" w:color="auto"/>
          </w:divBdr>
          <w:divsChild>
            <w:div w:id="1672875413">
              <w:marLeft w:val="0"/>
              <w:marRight w:val="0"/>
              <w:marTop w:val="0"/>
              <w:marBottom w:val="0"/>
              <w:divBdr>
                <w:top w:val="none" w:sz="0" w:space="0" w:color="auto"/>
                <w:left w:val="none" w:sz="0" w:space="0" w:color="auto"/>
                <w:bottom w:val="none" w:sz="0" w:space="0" w:color="auto"/>
                <w:right w:val="none" w:sz="0" w:space="0" w:color="auto"/>
              </w:divBdr>
              <w:divsChild>
                <w:div w:id="786003095">
                  <w:marLeft w:val="0"/>
                  <w:marRight w:val="0"/>
                  <w:marTop w:val="0"/>
                  <w:marBottom w:val="0"/>
                  <w:divBdr>
                    <w:top w:val="none" w:sz="0" w:space="0" w:color="auto"/>
                    <w:left w:val="none" w:sz="0" w:space="0" w:color="auto"/>
                    <w:bottom w:val="none" w:sz="0" w:space="0" w:color="auto"/>
                    <w:right w:val="none" w:sz="0" w:space="0" w:color="auto"/>
                  </w:divBdr>
                  <w:divsChild>
                    <w:div w:id="3733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92">
          <w:marLeft w:val="0"/>
          <w:marRight w:val="0"/>
          <w:marTop w:val="0"/>
          <w:marBottom w:val="0"/>
          <w:divBdr>
            <w:top w:val="none" w:sz="0" w:space="0" w:color="auto"/>
            <w:left w:val="none" w:sz="0" w:space="0" w:color="auto"/>
            <w:bottom w:val="none" w:sz="0" w:space="0" w:color="auto"/>
            <w:right w:val="none" w:sz="0" w:space="0" w:color="auto"/>
          </w:divBdr>
          <w:divsChild>
            <w:div w:id="594480793">
              <w:marLeft w:val="0"/>
              <w:marRight w:val="0"/>
              <w:marTop w:val="0"/>
              <w:marBottom w:val="0"/>
              <w:divBdr>
                <w:top w:val="none" w:sz="0" w:space="0" w:color="auto"/>
                <w:left w:val="none" w:sz="0" w:space="0" w:color="auto"/>
                <w:bottom w:val="none" w:sz="0" w:space="0" w:color="auto"/>
                <w:right w:val="none" w:sz="0" w:space="0" w:color="auto"/>
              </w:divBdr>
              <w:divsChild>
                <w:div w:id="1156143074">
                  <w:marLeft w:val="0"/>
                  <w:marRight w:val="0"/>
                  <w:marTop w:val="0"/>
                  <w:marBottom w:val="0"/>
                  <w:divBdr>
                    <w:top w:val="none" w:sz="0" w:space="0" w:color="auto"/>
                    <w:left w:val="none" w:sz="0" w:space="0" w:color="auto"/>
                    <w:bottom w:val="none" w:sz="0" w:space="0" w:color="auto"/>
                    <w:right w:val="none" w:sz="0" w:space="0" w:color="auto"/>
                  </w:divBdr>
                  <w:divsChild>
                    <w:div w:id="65567721">
                      <w:marLeft w:val="0"/>
                      <w:marRight w:val="0"/>
                      <w:marTop w:val="0"/>
                      <w:marBottom w:val="0"/>
                      <w:divBdr>
                        <w:top w:val="none" w:sz="0" w:space="0" w:color="auto"/>
                        <w:left w:val="none" w:sz="0" w:space="0" w:color="auto"/>
                        <w:bottom w:val="none" w:sz="0" w:space="0" w:color="auto"/>
                        <w:right w:val="none" w:sz="0" w:space="0" w:color="auto"/>
                      </w:divBdr>
                      <w:divsChild>
                        <w:div w:id="1510827112">
                          <w:marLeft w:val="0"/>
                          <w:marRight w:val="0"/>
                          <w:marTop w:val="0"/>
                          <w:marBottom w:val="0"/>
                          <w:divBdr>
                            <w:top w:val="none" w:sz="0" w:space="0" w:color="auto"/>
                            <w:left w:val="none" w:sz="0" w:space="0" w:color="auto"/>
                            <w:bottom w:val="none" w:sz="0" w:space="0" w:color="auto"/>
                            <w:right w:val="none" w:sz="0" w:space="0" w:color="auto"/>
                          </w:divBdr>
                          <w:divsChild>
                            <w:div w:id="2062247782">
                              <w:marLeft w:val="0"/>
                              <w:marRight w:val="0"/>
                              <w:marTop w:val="0"/>
                              <w:marBottom w:val="0"/>
                              <w:divBdr>
                                <w:top w:val="none" w:sz="0" w:space="0" w:color="auto"/>
                                <w:left w:val="none" w:sz="0" w:space="0" w:color="auto"/>
                                <w:bottom w:val="none" w:sz="0" w:space="0" w:color="auto"/>
                                <w:right w:val="none" w:sz="0" w:space="0" w:color="auto"/>
                              </w:divBdr>
                              <w:divsChild>
                                <w:div w:id="5428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029930">
          <w:marLeft w:val="0"/>
          <w:marRight w:val="0"/>
          <w:marTop w:val="0"/>
          <w:marBottom w:val="0"/>
          <w:divBdr>
            <w:top w:val="none" w:sz="0" w:space="0" w:color="auto"/>
            <w:left w:val="none" w:sz="0" w:space="0" w:color="auto"/>
            <w:bottom w:val="none" w:sz="0" w:space="0" w:color="auto"/>
            <w:right w:val="none" w:sz="0" w:space="0" w:color="auto"/>
          </w:divBdr>
          <w:divsChild>
            <w:div w:id="72892789">
              <w:marLeft w:val="0"/>
              <w:marRight w:val="0"/>
              <w:marTop w:val="0"/>
              <w:marBottom w:val="0"/>
              <w:divBdr>
                <w:top w:val="none" w:sz="0" w:space="0" w:color="auto"/>
                <w:left w:val="none" w:sz="0" w:space="0" w:color="auto"/>
                <w:bottom w:val="none" w:sz="0" w:space="0" w:color="auto"/>
                <w:right w:val="none" w:sz="0" w:space="0" w:color="auto"/>
              </w:divBdr>
              <w:divsChild>
                <w:div w:id="12098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71250">
      <w:bodyDiv w:val="1"/>
      <w:marLeft w:val="0"/>
      <w:marRight w:val="0"/>
      <w:marTop w:val="0"/>
      <w:marBottom w:val="0"/>
      <w:divBdr>
        <w:top w:val="none" w:sz="0" w:space="0" w:color="auto"/>
        <w:left w:val="none" w:sz="0" w:space="0" w:color="auto"/>
        <w:bottom w:val="none" w:sz="0" w:space="0" w:color="auto"/>
        <w:right w:val="none" w:sz="0" w:space="0" w:color="auto"/>
      </w:divBdr>
    </w:div>
    <w:div w:id="1978484557">
      <w:bodyDiv w:val="1"/>
      <w:marLeft w:val="0"/>
      <w:marRight w:val="0"/>
      <w:marTop w:val="0"/>
      <w:marBottom w:val="0"/>
      <w:divBdr>
        <w:top w:val="none" w:sz="0" w:space="0" w:color="auto"/>
        <w:left w:val="none" w:sz="0" w:space="0" w:color="auto"/>
        <w:bottom w:val="none" w:sz="0" w:space="0" w:color="auto"/>
        <w:right w:val="none" w:sz="0" w:space="0" w:color="auto"/>
      </w:divBdr>
      <w:divsChild>
        <w:div w:id="68118271">
          <w:marLeft w:val="0"/>
          <w:marRight w:val="0"/>
          <w:marTop w:val="0"/>
          <w:marBottom w:val="0"/>
          <w:divBdr>
            <w:top w:val="none" w:sz="0" w:space="0" w:color="auto"/>
            <w:left w:val="none" w:sz="0" w:space="0" w:color="auto"/>
            <w:bottom w:val="none" w:sz="0" w:space="0" w:color="auto"/>
            <w:right w:val="none" w:sz="0" w:space="0" w:color="auto"/>
          </w:divBdr>
          <w:divsChild>
            <w:div w:id="1950816371">
              <w:marLeft w:val="0"/>
              <w:marRight w:val="0"/>
              <w:marTop w:val="0"/>
              <w:marBottom w:val="0"/>
              <w:divBdr>
                <w:top w:val="none" w:sz="0" w:space="0" w:color="auto"/>
                <w:left w:val="none" w:sz="0" w:space="0" w:color="auto"/>
                <w:bottom w:val="none" w:sz="0" w:space="0" w:color="auto"/>
                <w:right w:val="none" w:sz="0" w:space="0" w:color="auto"/>
              </w:divBdr>
              <w:divsChild>
                <w:div w:id="127402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8551">
      <w:bodyDiv w:val="1"/>
      <w:marLeft w:val="0"/>
      <w:marRight w:val="0"/>
      <w:marTop w:val="0"/>
      <w:marBottom w:val="0"/>
      <w:divBdr>
        <w:top w:val="none" w:sz="0" w:space="0" w:color="auto"/>
        <w:left w:val="none" w:sz="0" w:space="0" w:color="auto"/>
        <w:bottom w:val="none" w:sz="0" w:space="0" w:color="auto"/>
        <w:right w:val="none" w:sz="0" w:space="0" w:color="auto"/>
      </w:divBdr>
    </w:div>
    <w:div w:id="2020541503">
      <w:bodyDiv w:val="1"/>
      <w:marLeft w:val="0"/>
      <w:marRight w:val="0"/>
      <w:marTop w:val="0"/>
      <w:marBottom w:val="0"/>
      <w:divBdr>
        <w:top w:val="none" w:sz="0" w:space="0" w:color="auto"/>
        <w:left w:val="none" w:sz="0" w:space="0" w:color="auto"/>
        <w:bottom w:val="none" w:sz="0" w:space="0" w:color="auto"/>
        <w:right w:val="none" w:sz="0" w:space="0" w:color="auto"/>
      </w:divBdr>
    </w:div>
    <w:div w:id="2084831369">
      <w:bodyDiv w:val="1"/>
      <w:marLeft w:val="0"/>
      <w:marRight w:val="0"/>
      <w:marTop w:val="0"/>
      <w:marBottom w:val="0"/>
      <w:divBdr>
        <w:top w:val="none" w:sz="0" w:space="0" w:color="auto"/>
        <w:left w:val="none" w:sz="0" w:space="0" w:color="auto"/>
        <w:bottom w:val="none" w:sz="0" w:space="0" w:color="auto"/>
        <w:right w:val="none" w:sz="0" w:space="0" w:color="auto"/>
      </w:divBdr>
    </w:div>
    <w:div w:id="211512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cc.ch/report/ar6/wg1/" TargetMode="External"/><Relationship Id="rId3" Type="http://schemas.openxmlformats.org/officeDocument/2006/relationships/settings" Target="settings.xml"/><Relationship Id="rId7" Type="http://schemas.openxmlformats.org/officeDocument/2006/relationships/hyperlink" Target="http://www.fao.org/sustainable-land-manag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ho.int/news-room/questions-and-answers/item/dietary-patt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3744</Words>
  <Characters>21343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Eazy</dc:creator>
  <cp:lastModifiedBy>Microsoft Office User</cp:lastModifiedBy>
  <cp:revision>2</cp:revision>
  <cp:lastPrinted>2020-11-19T17:50:00Z</cp:lastPrinted>
  <dcterms:created xsi:type="dcterms:W3CDTF">2024-01-25T04:17:00Z</dcterms:created>
  <dcterms:modified xsi:type="dcterms:W3CDTF">2024-01-25T04:17:00Z</dcterms:modified>
</cp:coreProperties>
</file>